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359" w:type="dxa"/>
        <w:tblInd w:w="0" w:type="dxa"/>
        <w:shd w:val="clear"/>
        <w:tblLayout w:type="fixed"/>
        <w:tblCellMar>
          <w:top w:w="0" w:type="dxa"/>
          <w:left w:w="0" w:type="dxa"/>
          <w:bottom w:w="0" w:type="dxa"/>
          <w:right w:w="0" w:type="dxa"/>
        </w:tblCellMar>
      </w:tblPr>
      <w:tblGrid>
        <w:gridCol w:w="980"/>
        <w:gridCol w:w="819"/>
        <w:gridCol w:w="980"/>
        <w:gridCol w:w="5280"/>
        <w:gridCol w:w="1220"/>
        <w:gridCol w:w="1080"/>
      </w:tblGrid>
      <w:tr>
        <w:tblPrEx>
          <w:tblLayout w:type="fixed"/>
        </w:tblPrEx>
        <w:trPr>
          <w:trHeight w:val="1095" w:hRule="atLeast"/>
        </w:trPr>
        <w:tc>
          <w:tcPr>
            <w:tcW w:w="9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ascii="Arial" w:hAnsi="Arial" w:cs="Arial"/>
                <w:color w:val="666666"/>
                <w:sz w:val="18"/>
                <w:szCs w:val="18"/>
              </w:rPr>
            </w:pPr>
            <w:r>
              <w:rPr>
                <w:rStyle w:val="3"/>
                <w:rFonts w:hint="eastAsia" w:ascii="宋体" w:hAnsi="宋体" w:eastAsia="宋体" w:cs="宋体"/>
                <w:color w:val="666666"/>
                <w:kern w:val="0"/>
                <w:sz w:val="24"/>
                <w:szCs w:val="24"/>
                <w:lang w:val="en-US" w:eastAsia="zh-CN" w:bidi="ar"/>
              </w:rPr>
              <w:t>招聘  单位</w:t>
            </w:r>
          </w:p>
        </w:tc>
        <w:tc>
          <w:tcPr>
            <w:tcW w:w="81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3"/>
                <w:rFonts w:hint="eastAsia" w:ascii="宋体" w:hAnsi="宋体" w:eastAsia="宋体" w:cs="宋体"/>
                <w:color w:val="666666"/>
                <w:kern w:val="0"/>
                <w:sz w:val="24"/>
                <w:szCs w:val="24"/>
                <w:lang w:val="en-US" w:eastAsia="zh-CN" w:bidi="ar"/>
              </w:rPr>
              <w:t>岗位代码</w:t>
            </w:r>
          </w:p>
        </w:tc>
        <w:tc>
          <w:tcPr>
            <w:tcW w:w="9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3"/>
                <w:rFonts w:hint="eastAsia" w:ascii="宋体" w:hAnsi="宋体" w:eastAsia="宋体" w:cs="宋体"/>
                <w:color w:val="666666"/>
                <w:kern w:val="0"/>
                <w:sz w:val="24"/>
                <w:szCs w:val="24"/>
                <w:lang w:val="en-US" w:eastAsia="zh-CN" w:bidi="ar"/>
              </w:rPr>
              <w:t>姓名</w:t>
            </w:r>
          </w:p>
        </w:tc>
        <w:tc>
          <w:tcPr>
            <w:tcW w:w="52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3"/>
                <w:rFonts w:hint="eastAsia" w:ascii="宋体" w:hAnsi="宋体" w:eastAsia="宋体" w:cs="宋体"/>
                <w:color w:val="666666"/>
                <w:kern w:val="0"/>
                <w:sz w:val="24"/>
                <w:szCs w:val="24"/>
                <w:lang w:val="en-US" w:eastAsia="zh-CN" w:bidi="ar"/>
              </w:rPr>
              <w:t>加分项目</w:t>
            </w:r>
          </w:p>
        </w:tc>
        <w:tc>
          <w:tcPr>
            <w:tcW w:w="122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3"/>
                <w:rFonts w:hint="eastAsia" w:ascii="宋体" w:hAnsi="宋体" w:eastAsia="宋体" w:cs="宋体"/>
                <w:color w:val="666666"/>
                <w:kern w:val="0"/>
                <w:sz w:val="24"/>
                <w:szCs w:val="24"/>
                <w:lang w:val="en-US" w:eastAsia="zh-CN" w:bidi="ar"/>
              </w:rPr>
              <w:t>加分分值</w:t>
            </w:r>
          </w:p>
        </w:tc>
        <w:tc>
          <w:tcPr>
            <w:tcW w:w="10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Style w:val="3"/>
                <w:rFonts w:hint="eastAsia" w:ascii="宋体" w:hAnsi="宋体" w:eastAsia="宋体" w:cs="宋体"/>
                <w:color w:val="666666"/>
                <w:kern w:val="0"/>
                <w:sz w:val="24"/>
                <w:szCs w:val="24"/>
                <w:lang w:val="en-US" w:eastAsia="zh-CN" w:bidi="ar"/>
              </w:rPr>
              <w:t>合计</w:t>
            </w:r>
          </w:p>
        </w:tc>
      </w:tr>
      <w:tr>
        <w:tblPrEx>
          <w:tblLayout w:type="fixed"/>
        </w:tblPrEx>
        <w:trPr>
          <w:trHeight w:val="2055" w:hRule="atLeast"/>
        </w:trPr>
        <w:tc>
          <w:tcPr>
            <w:tcW w:w="98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4"/>
                <w:szCs w:val="24"/>
                <w:lang w:val="en-US" w:eastAsia="zh-CN" w:bidi="ar"/>
              </w:rPr>
              <w:t>厦门市鼓浪屿干部疗养院</w:t>
            </w:r>
          </w:p>
        </w:tc>
        <w:tc>
          <w:tcPr>
            <w:tcW w:w="819"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4"/>
                <w:szCs w:val="24"/>
                <w:lang w:val="en-US" w:eastAsia="zh-CN" w:bidi="ar"/>
              </w:rPr>
              <w:t>4003</w:t>
            </w:r>
          </w:p>
        </w:tc>
        <w:tc>
          <w:tcPr>
            <w:tcW w:w="98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4"/>
                <w:szCs w:val="24"/>
                <w:lang w:val="en-US" w:eastAsia="zh-CN" w:bidi="ar"/>
              </w:rPr>
              <w:t>刘永财</w:t>
            </w:r>
          </w:p>
        </w:tc>
        <w:tc>
          <w:tcPr>
            <w:tcW w:w="5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4"/>
                <w:szCs w:val="24"/>
                <w:lang w:val="en-US" w:eastAsia="zh-CN" w:bidi="ar"/>
              </w:rPr>
              <w:t>由福建省兵役机关批准入伍或福建生源的退役士兵，可享受以下笔试卷面分加分：获得优秀士官和优秀士兵荣誉称号的另加1分/次。</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4"/>
                <w:szCs w:val="24"/>
                <w:lang w:val="en-US" w:eastAsia="zh-CN" w:bidi="ar"/>
              </w:rPr>
              <w:t>2</w:t>
            </w:r>
          </w:p>
        </w:tc>
        <w:tc>
          <w:tcPr>
            <w:tcW w:w="108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4"/>
                <w:szCs w:val="24"/>
                <w:lang w:val="en-US" w:eastAsia="zh-CN" w:bidi="ar"/>
              </w:rPr>
              <w:t>7</w:t>
            </w:r>
          </w:p>
        </w:tc>
      </w:tr>
      <w:tr>
        <w:tblPrEx>
          <w:tblLayout w:type="fixed"/>
          <w:tblCellMar>
            <w:top w:w="0" w:type="dxa"/>
            <w:left w:w="0" w:type="dxa"/>
            <w:bottom w:w="0" w:type="dxa"/>
            <w:right w:w="0" w:type="dxa"/>
          </w:tblCellMar>
        </w:tblPrEx>
        <w:trPr>
          <w:trHeight w:val="2040" w:hRule="atLeast"/>
        </w:trPr>
        <w:tc>
          <w:tcPr>
            <w:tcW w:w="980"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c>
          <w:tcPr>
            <w:tcW w:w="819"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c>
          <w:tcPr>
            <w:tcW w:w="980"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c>
          <w:tcPr>
            <w:tcW w:w="528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4"/>
                <w:szCs w:val="24"/>
                <w:lang w:val="en-US" w:eastAsia="zh-CN" w:bidi="ar"/>
              </w:rPr>
              <w:t>由福建省兵役机关批准入伍或福建生源的退役士兵，可享受以下笔试卷面分加分：全日制普通教育大专以上学历学生在校期间应征入伍且退役后继续完成学业的，毕业后加5分。</w:t>
            </w:r>
          </w:p>
        </w:tc>
        <w:tc>
          <w:tcPr>
            <w:tcW w:w="1220" w:type="dxa"/>
            <w:tcBorders>
              <w:top w:val="nil"/>
              <w:left w:val="nil"/>
              <w:bottom w:val="single" w:color="auto" w:sz="4" w:space="0"/>
              <w:right w:val="single" w:color="auto" w:sz="4" w:space="0"/>
            </w:tcBorders>
            <w:shd w:val="clear"/>
            <w:vAlign w:val="center"/>
          </w:tcPr>
          <w:p>
            <w:pPr>
              <w:keepNext w:val="0"/>
              <w:keepLines w:val="0"/>
              <w:widowControl/>
              <w:suppressLineNumbers w:val="0"/>
              <w:spacing w:line="280" w:lineRule="atLeast"/>
              <w:jc w:val="center"/>
              <w:rPr>
                <w:rFonts w:hint="default" w:ascii="Arial" w:hAnsi="Arial" w:cs="Arial"/>
                <w:color w:val="666666"/>
                <w:sz w:val="18"/>
                <w:szCs w:val="18"/>
              </w:rPr>
            </w:pPr>
            <w:r>
              <w:rPr>
                <w:rFonts w:hint="eastAsia" w:ascii="宋体" w:hAnsi="宋体" w:eastAsia="宋体" w:cs="宋体"/>
                <w:color w:val="666666"/>
                <w:kern w:val="0"/>
                <w:sz w:val="24"/>
                <w:szCs w:val="24"/>
                <w:lang w:val="en-US" w:eastAsia="zh-CN" w:bidi="ar"/>
              </w:rPr>
              <w:t>5</w:t>
            </w:r>
          </w:p>
        </w:tc>
        <w:tc>
          <w:tcPr>
            <w:tcW w:w="1080" w:type="dxa"/>
            <w:vMerge w:val="continue"/>
            <w:tcBorders>
              <w:top w:val="nil"/>
              <w:left w:val="single" w:color="auto" w:sz="4" w:space="0"/>
              <w:bottom w:val="single" w:color="000000" w:sz="4" w:space="0"/>
              <w:right w:val="single" w:color="auto" w:sz="4" w:space="0"/>
            </w:tcBorders>
            <w:shd w:val="clear"/>
            <w:vAlign w:val="center"/>
          </w:tcPr>
          <w:p>
            <w:pPr>
              <w:jc w:val="center"/>
              <w:rPr>
                <w:rFonts w:hint="default" w:ascii="Arial" w:hAnsi="Arial" w:cs="Arial"/>
                <w:color w:val="666666"/>
                <w:sz w:val="18"/>
                <w:szCs w:val="18"/>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407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666666"/>
      <w:u w:val="none"/>
    </w:rPr>
  </w:style>
  <w:style w:type="character" w:styleId="5">
    <w:name w:val="Hyperlink"/>
    <w:basedOn w:val="2"/>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2017-09-29T06:20:02Z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