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  <w:bdr w:val="none" w:color="auto" w:sz="0" w:space="0"/>
        </w:rPr>
        <w:t>慈溪市三北公墓鸣鹤办事处招聘编外用工拟录用人员公示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463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tbl>
      <w:tblPr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674"/>
        <w:gridCol w:w="1673"/>
        <w:gridCol w:w="2110"/>
        <w:gridCol w:w="2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姓 名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总成绩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总名次</w:t>
            </w:r>
          </w:p>
        </w:tc>
        <w:tc>
          <w:tcPr>
            <w:tcW w:w="2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体检情况</w:t>
            </w:r>
          </w:p>
        </w:tc>
        <w:tc>
          <w:tcPr>
            <w:tcW w:w="2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考察情况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柴剑侠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82.2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15591"/>
    <w:rsid w:val="39015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2017-09-19T06:18:00Z</dcterms:created>
  <dc:creator>ASUS</dc:creator>
  <cp:lastModifiedBy>ASUS</cp:lastModifiedBy>
  <dcterms:modified xsi:type="dcterms:W3CDTF">2017-09-19T06:18:41Z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