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</w:pPr>
      <w:r>
        <w:rPr>
          <w:rFonts w:ascii="微软雅黑" w:hAnsi="微软雅黑" w:eastAsia="微软雅黑" w:cs="微软雅黑"/>
          <w:color w:val="333333"/>
          <w:sz w:val="21"/>
          <w:szCs w:val="21"/>
        </w:rPr>
        <w:t>招聘岗位及要求</w:t>
      </w:r>
    </w:p>
    <w:tbl>
      <w:tblPr>
        <w:tblW w:w="8128" w:type="dxa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957"/>
        <w:gridCol w:w="2042"/>
        <w:gridCol w:w="2422"/>
        <w:gridCol w:w="1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2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渔业资源养护岗位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海洋生物学、海洋科学、渔业资源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全日制研究生学历，硕士及以上学位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水产品质量安全指导岗位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水产品加工及贮藏工程、农场品质量与安全、食品加工与管理、食品科学与工程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全日制研究生学历，硕士及以上学位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渔业信息系统管理岗位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计算机科学与技术（网络技术方向）、计算机网络工程与管理、计算机网络技术与工程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全日制研究生学历，硕士及以上学位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专技岗位最低服务期限5年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20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2017-11-08T10:02:11Z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