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25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  <w:bdr w:val="none" w:color="auto" w:sz="0" w:space="0"/>
        </w:rPr>
        <w:t>招聘岗位和具体要求</w:t>
      </w:r>
    </w:p>
    <w:tbl>
      <w:tblPr>
        <w:tblW w:w="7204" w:type="dxa"/>
        <w:tblInd w:w="75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2"/>
        <w:gridCol w:w="338"/>
        <w:gridCol w:w="1382"/>
        <w:gridCol w:w="626"/>
        <w:gridCol w:w="601"/>
        <w:gridCol w:w="1114"/>
        <w:gridCol w:w="21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专业名称及代码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综合法规科、行政复议与执法监督科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法学（A0301）、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法学类（B0301）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1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通过国家司法考试取得法律职业资格证书优先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225CB"/>
    <w:rsid w:val="32F2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2018-11-15T02:45:00Z</dcterms:created>
  <dc:creator>ASUS</dc:creator>
  <cp:lastModifiedBy>ASUS</cp:lastModifiedBy>
  <dcterms:modified xsi:type="dcterms:W3CDTF">2018-11-15T02:45:36Z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