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4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245"/>
        <w:gridCol w:w="60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招聘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招聘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人数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岗位条件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规划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交通运输规划与管理专业（082303），全日制硕士研究生及以上学历学位，30周岁以下（1987年8月31日后出生）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造价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道路与铁道工程（082301）、桥梁与隧道工程专业（081406），全日制硕士研究生及以上学历学位，30周岁以下（1987年8月31日后出生）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37D08"/>
    <w:rsid w:val="2AE4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Acronym"/>
    <w:basedOn w:val="2"/>
    <w:uiPriority w:val="0"/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000000"/>
      <w:u w:val="none"/>
    </w:rPr>
  </w:style>
  <w:style w:type="character" w:styleId="9">
    <w:name w:val="HTML Code"/>
    <w:basedOn w:val="2"/>
    <w:uiPriority w:val="0"/>
    <w:rPr>
      <w:rFonts w:ascii="Courier New" w:hAnsi="Courier New"/>
      <w:sz w:val="20"/>
    </w:rPr>
  </w:style>
  <w:style w:type="character" w:styleId="10">
    <w:name w:val="HTML Ci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2017-10-12T14:02:53Z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