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330" w:lineRule="atLeast"/>
        <w:ind w:left="0" w:right="0"/>
      </w:pPr>
      <w:r>
        <w:rPr>
          <w:rStyle w:val="4"/>
          <w:rFonts w:ascii="微软雅黑" w:hAnsi="微软雅黑" w:eastAsia="微软雅黑" w:cs="微软雅黑"/>
          <w:color w:val="333333"/>
          <w:sz w:val="21"/>
          <w:szCs w:val="21"/>
        </w:rPr>
        <w:t>招聘岗位及要求</w:t>
      </w:r>
    </w:p>
    <w:tbl>
      <w:tblPr>
        <w:tblW w:w="8921" w:type="dxa"/>
        <w:tblInd w:w="0" w:type="dxa"/>
        <w:shd w:val="clear"/>
        <w:tblLayout w:type="fixed"/>
        <w:tblCellMar>
          <w:top w:w="0" w:type="dxa"/>
          <w:left w:w="0" w:type="dxa"/>
          <w:bottom w:w="0" w:type="dxa"/>
          <w:right w:w="0" w:type="dxa"/>
        </w:tblCellMar>
      </w:tblPr>
      <w:tblGrid>
        <w:gridCol w:w="498"/>
        <w:gridCol w:w="1204"/>
        <w:gridCol w:w="841"/>
        <w:gridCol w:w="1559"/>
        <w:gridCol w:w="1702"/>
        <w:gridCol w:w="1418"/>
        <w:gridCol w:w="1699"/>
      </w:tblGrid>
      <w:tr>
        <w:tblPrEx>
          <w:shd w:val="clear"/>
          <w:tblLayout w:type="fixed"/>
          <w:tblCellMar>
            <w:top w:w="0" w:type="dxa"/>
            <w:left w:w="0" w:type="dxa"/>
            <w:bottom w:w="0" w:type="dxa"/>
            <w:right w:w="0" w:type="dxa"/>
          </w:tblCellMar>
        </w:tblPrEx>
        <w:trPr>
          <w:trHeight w:val="375" w:hRule="atLeast"/>
        </w:trPr>
        <w:tc>
          <w:tcPr>
            <w:tcW w:w="498"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仿宋" w:hAnsi="仿宋" w:eastAsia="仿宋" w:cs="仿宋"/>
                <w:color w:val="000000"/>
                <w:kern w:val="0"/>
                <w:sz w:val="28"/>
                <w:szCs w:val="28"/>
                <w:bdr w:val="none" w:color="auto" w:sz="0" w:space="0"/>
                <w:lang w:val="en-US" w:eastAsia="zh-CN" w:bidi="ar"/>
              </w:rPr>
              <w:t>序号</w:t>
            </w:r>
          </w:p>
        </w:tc>
        <w:tc>
          <w:tcPr>
            <w:tcW w:w="1204"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岗位</w:t>
            </w:r>
          </w:p>
        </w:tc>
        <w:tc>
          <w:tcPr>
            <w:tcW w:w="841"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招聘人数</w:t>
            </w:r>
          </w:p>
        </w:tc>
        <w:tc>
          <w:tcPr>
            <w:tcW w:w="155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专业</w:t>
            </w:r>
          </w:p>
        </w:tc>
        <w:tc>
          <w:tcPr>
            <w:tcW w:w="1702"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学历学位</w:t>
            </w:r>
          </w:p>
        </w:tc>
        <w:tc>
          <w:tcPr>
            <w:tcW w:w="1418"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其他</w:t>
            </w:r>
          </w:p>
        </w:tc>
        <w:tc>
          <w:tcPr>
            <w:tcW w:w="169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390" w:hRule="atLeast"/>
        </w:trPr>
        <w:tc>
          <w:tcPr>
            <w:tcW w:w="498"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204"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41"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55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702"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要求</w:t>
            </w:r>
          </w:p>
        </w:tc>
        <w:tc>
          <w:tcPr>
            <w:tcW w:w="169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Layout w:type="fixed"/>
          <w:tblCellMar>
            <w:top w:w="0" w:type="dxa"/>
            <w:left w:w="0" w:type="dxa"/>
            <w:bottom w:w="0" w:type="dxa"/>
            <w:right w:w="0" w:type="dxa"/>
          </w:tblCellMar>
        </w:tblPrEx>
        <w:trPr>
          <w:trHeight w:val="2501" w:hRule="atLeast"/>
        </w:trPr>
        <w:tc>
          <w:tcPr>
            <w:tcW w:w="4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01</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高等教育评估科专业技术岗位</w:t>
            </w:r>
          </w:p>
        </w:tc>
        <w:tc>
          <w:tcPr>
            <w:tcW w:w="8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2</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 xml:space="preserve">教育学类、管理科学与工程类 </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全日制普通高等院校本科及以上学历、硕士及以上学位</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具有1年及以上相关工作经历</w:t>
            </w:r>
          </w:p>
        </w:tc>
        <w:tc>
          <w:tcPr>
            <w:tcW w:w="1699"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仿宋" w:hAnsi="仿宋" w:eastAsia="仿宋" w:cs="仿宋"/>
                <w:color w:val="000000"/>
                <w:kern w:val="0"/>
                <w:sz w:val="28"/>
                <w:szCs w:val="28"/>
                <w:bdr w:val="none" w:color="auto" w:sz="0" w:space="0"/>
                <w:lang w:val="en-US" w:eastAsia="zh-CN" w:bidi="ar"/>
              </w:rPr>
              <w:t>本科及以上学历专业或硕士及以上学位专业与岗位要求的专业相符均可</w:t>
            </w:r>
          </w:p>
        </w:tc>
      </w:tr>
      <w:tr>
        <w:tblPrEx>
          <w:shd w:val="clear"/>
          <w:tblLayout w:type="fixed"/>
          <w:tblCellMar>
            <w:top w:w="0" w:type="dxa"/>
            <w:left w:w="0" w:type="dxa"/>
            <w:bottom w:w="0" w:type="dxa"/>
            <w:right w:w="0" w:type="dxa"/>
          </w:tblCellMar>
        </w:tblPrEx>
        <w:trPr>
          <w:trHeight w:val="3861" w:hRule="atLeast"/>
        </w:trPr>
        <w:tc>
          <w:tcPr>
            <w:tcW w:w="4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02</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职业与成人教育评估科专业技术岗位</w:t>
            </w:r>
          </w:p>
        </w:tc>
        <w:tc>
          <w:tcPr>
            <w:tcW w:w="8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1</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教育学类、管理科学与工程类、职业技术教育类</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全日制普通高等院校本科及以上学历、硕士及以上学位</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具有1年及以上相关工作经历</w:t>
            </w:r>
          </w:p>
        </w:tc>
        <w:tc>
          <w:tcPr>
            <w:tcW w:w="169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Layout w:type="fixed"/>
          <w:tblCellMar>
            <w:top w:w="0" w:type="dxa"/>
            <w:left w:w="0" w:type="dxa"/>
            <w:bottom w:w="0" w:type="dxa"/>
            <w:right w:w="0" w:type="dxa"/>
          </w:tblCellMar>
        </w:tblPrEx>
        <w:trPr>
          <w:trHeight w:val="3627" w:hRule="atLeast"/>
        </w:trPr>
        <w:tc>
          <w:tcPr>
            <w:tcW w:w="4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03</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办公室岗位</w:t>
            </w:r>
          </w:p>
        </w:tc>
        <w:tc>
          <w:tcPr>
            <w:tcW w:w="8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1</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中国语言文学类、新闻传播学类、经济贸易类、管理科学与工程类</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全日制普通高等院校本科及以上学历、硕士及以上学位</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color w:val="000000"/>
                <w:kern w:val="0"/>
                <w:sz w:val="28"/>
                <w:szCs w:val="28"/>
                <w:bdr w:val="none" w:color="auto" w:sz="0" w:space="0"/>
                <w:lang w:val="en-US" w:eastAsia="zh-CN" w:bidi="ar"/>
              </w:rPr>
              <w:t>具有1年及以上相关工作经历</w:t>
            </w:r>
          </w:p>
        </w:tc>
        <w:tc>
          <w:tcPr>
            <w:tcW w:w="1699"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30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999999" w:sz="0" w:space="0"/>
        <w:left w:val="none" w:color="999999" w:sz="6" w:space="0"/>
        <w:bottom w:val="none" w:color="999999" w:sz="6" w:space="0"/>
        <w:right w:val="none" w:color="999999" w:sz="0" w:space="0"/>
      </w:pBdr>
      <w:shd w:val="clear" w:fill="FFFFFF"/>
      <w:spacing w:before="0" w:beforeAutospacing="0" w:after="0" w:afterAutospacing="0" w:line="21" w:lineRule="atLeast"/>
      <w:ind w:left="0" w:right="0"/>
      <w:jc w:val="left"/>
    </w:pPr>
    <w:rPr>
      <w:rFonts w:ascii="Helvetica" w:hAnsi="Helvetica" w:eastAsia="Helvetica" w:cs="Helvetica"/>
      <w:color w:val="333333"/>
      <w:kern w:val="0"/>
      <w:sz w:val="21"/>
      <w:szCs w:val="21"/>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2017-08-18T03:22:39Z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