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82" w:type="dxa"/>
        <w:jc w:val="center"/>
        <w:tblInd w:w="-123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3480"/>
        <w:gridCol w:w="690"/>
        <w:gridCol w:w="930"/>
        <w:gridCol w:w="519"/>
        <w:gridCol w:w="2468"/>
        <w:gridCol w:w="23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录用单位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代码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性别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准考证号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Style w:val="4"/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毕业院校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长乐市人民政府办公室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林旺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141100101038524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三明学院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长乐市人民政府办公室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林熙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111100102037422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福建师范大学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长乐市人民政府办公室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03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薛志康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141100103030523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华东政法大学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长乐市人民政府办公室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04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陈雅焰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111100104033573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福建师范大学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5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长乐市司法局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卢芷烨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141101101038835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武汉理工大学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长乐市司法局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刘新凯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141101102034584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集美大学诚毅学院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长乐市司法局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03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戴雅欣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411101103038656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山东政法学院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8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长乐市人力资源和社会保障局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李茜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111101501037167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福建师范大学协和学院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长乐市人力资源和社会保障局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黄得荣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111101502036162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厦门大学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10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长乐市商务局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陈廉洁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141102701033986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长乐市商务局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何陈念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141102702035843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12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长乐市市场监督管理局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郑鹏程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141102901030653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华东政法大学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13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长乐市市场监督管理局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卓文捷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141102902038268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长乐市市场监督管理局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03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陈泽维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411102903038980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华侨大学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15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长乐市市场监督管理局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04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王欣乐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111102904030637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16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长乐市市场监督管理局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05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林景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141102905032973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漳州师范学院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17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长乐市市场监督管理局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06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陈伟益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911102906031086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18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长乐市市场监督管理局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07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曾婷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111102907035607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福建工程学院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19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长乐市市场监督管理局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08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黄得水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141102908034665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集美大学诚毅学院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20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长乐市城建监察大队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陈东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143100102098055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四川农业大学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21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长乐市城建监察大队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03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林建休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143100103094879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集美大学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22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长乐市城建监察大队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04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黄文建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113100104094912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福州大学阳光学院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23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长乐市运输管理所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陈凤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143100201093815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集美大学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24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长乐市运输管理所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李志鸿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413100202093525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武汉理工大学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25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长乐市供销合作社联合社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周仙贵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913100301091567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遵义师范学院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26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长乐市人事人才公共服务中心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潘梦婷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113100401099095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福建农林大学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27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长乐市农业机械管理站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陈绍敏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113100501097483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山西农业大学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28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长乐市农业机械管理站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02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高秀梅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女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143100502097777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福建师范大学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29</w:t>
            </w:r>
          </w:p>
        </w:tc>
        <w:tc>
          <w:tcPr>
            <w:tcW w:w="34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长乐市海洋与渔业执法大队</w:t>
            </w:r>
          </w:p>
        </w:tc>
        <w:tc>
          <w:tcPr>
            <w:tcW w:w="69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01</w:t>
            </w:r>
          </w:p>
        </w:tc>
        <w:tc>
          <w:tcPr>
            <w:tcW w:w="93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杨佳</w:t>
            </w:r>
          </w:p>
        </w:tc>
        <w:tc>
          <w:tcPr>
            <w:tcW w:w="519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sz w:val="30"/>
                <w:szCs w:val="30"/>
                <w:bdr w:val="none" w:color="auto" w:sz="0" w:space="0"/>
              </w:rPr>
              <w:t>男</w:t>
            </w:r>
          </w:p>
        </w:tc>
        <w:tc>
          <w:tcPr>
            <w:tcW w:w="2468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143100601095061</w:t>
            </w:r>
          </w:p>
        </w:tc>
        <w:tc>
          <w:tcPr>
            <w:tcW w:w="23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宋体" w:eastAsia="仿宋_GB2312" w:cs="仿宋_GB2312"/>
                <w:color w:val="333333"/>
                <w:sz w:val="30"/>
                <w:szCs w:val="30"/>
                <w:bdr w:val="none" w:color="auto" w:sz="0" w:space="0"/>
              </w:rPr>
              <w:t>漳州师范学院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color w:val="333333"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sz w:val="18"/>
      <w:szCs w:val="18"/>
      <w:u w:val="none"/>
      <w:bdr w:val="none" w:color="auto" w:sz="0" w:space="0"/>
    </w:rPr>
  </w:style>
  <w:style w:type="character" w:styleId="6">
    <w:name w:val="Hyperlink"/>
    <w:basedOn w:val="3"/>
    <w:uiPriority w:val="0"/>
    <w:rPr>
      <w:color w:val="333333"/>
      <w:sz w:val="18"/>
      <w:szCs w:val="18"/>
      <w:u w:val="none"/>
      <w:bdr w:val="none" w:color="auto" w:sz="0" w:space="0"/>
    </w:rPr>
  </w:style>
  <w:style w:type="character" w:customStyle="1" w:styleId="8">
    <w:name w:val="uns"/>
    <w:basedOn w:val="3"/>
    <w:uiPriority w:val="0"/>
    <w:rPr>
      <w:color w:val="FFFFFF"/>
      <w:sz w:val="18"/>
      <w:szCs w:val="18"/>
      <w:bdr w:val="none" w:color="auto" w:sz="0" w:space="0"/>
    </w:rPr>
  </w:style>
  <w:style w:type="character" w:customStyle="1" w:styleId="9">
    <w:name w:val="nextwintit"/>
    <w:basedOn w:val="3"/>
    <w:uiPriority w:val="0"/>
    <w:rPr>
      <w:b/>
      <w:sz w:val="19"/>
      <w:szCs w:val="19"/>
      <w:shd w:val="clear" w:fill="CACC99"/>
    </w:rPr>
  </w:style>
  <w:style w:type="character" w:customStyle="1" w:styleId="10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2017-09-20T14:14:52Z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