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855"/>
        <w:gridCol w:w="1425"/>
        <w:gridCol w:w="735"/>
        <w:gridCol w:w="1500"/>
        <w:gridCol w:w="11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Header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ascii="华文仿宋" w:hAnsi="华文仿宋" w:eastAsia="华文仿宋" w:cs="华文仿宋"/>
              </w:rPr>
              <w:t>序号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default" w:ascii="华文仿宋" w:hAnsi="华文仿宋" w:eastAsia="华文仿宋" w:cs="华文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default" w:ascii="华文仿宋" w:hAnsi="华文仿宋" w:eastAsia="华文仿宋" w:cs="华文仿宋"/>
              </w:rPr>
              <w:t>出生年月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default" w:ascii="华文仿宋" w:hAnsi="华文仿宋" w:eastAsia="华文仿宋" w:cs="华文仿宋"/>
              </w:rPr>
              <w:t>性别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default" w:ascii="华文仿宋" w:hAnsi="华文仿宋" w:eastAsia="华文仿宋" w:cs="华文仿宋"/>
              </w:rPr>
              <w:t>引进单位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default" w:ascii="华文仿宋" w:hAnsi="华文仿宋" w:eastAsia="华文仿宋" w:cs="华文仿宋"/>
              </w:rPr>
              <w:t>考察结果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余佳佳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1989.07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鹿城区城市管理中心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潘科迪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1992.06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鹿城区经济管理中心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华文仿宋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66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on"/>
    <w:basedOn w:val="3"/>
    <w:uiPriority w:val="0"/>
    <w:rPr>
      <w:color w:val="CA4032"/>
    </w:rPr>
  </w:style>
  <w:style w:type="character" w:customStyle="1" w:styleId="9">
    <w:name w:val="on1"/>
    <w:basedOn w:val="3"/>
    <w:uiPriority w:val="0"/>
    <w:rPr>
      <w:shd w:val="clear" w:fill="FFC600"/>
    </w:rPr>
  </w:style>
  <w:style w:type="character" w:customStyle="1" w:styleId="10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2017-10-26T03:30:37Z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