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520" w:lineRule="exact"/>
        <w:ind w:left="1360" w:right="0" w:hanging="720"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引进岗位及职数</w:t>
      </w:r>
    </w:p>
    <w:tbl>
      <w:tblPr>
        <w:tblW w:w="8394" w:type="dxa"/>
        <w:tblCellSpacing w:w="15" w:type="dxa"/>
        <w:tblInd w:w="15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664"/>
        <w:gridCol w:w="1825"/>
        <w:gridCol w:w="761"/>
        <w:gridCol w:w="761"/>
        <w:gridCol w:w="1147"/>
        <w:gridCol w:w="2157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引进单位</w:t>
            </w:r>
          </w:p>
        </w:tc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引进人数</w:t>
            </w:r>
          </w:p>
        </w:tc>
        <w:tc>
          <w:tcPr>
            <w:tcW w:w="1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所学专业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学历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学位</w:t>
            </w:r>
          </w:p>
        </w:tc>
        <w:tc>
          <w:tcPr>
            <w:tcW w:w="11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年龄</w:t>
            </w:r>
          </w:p>
        </w:tc>
        <w:tc>
          <w:tcPr>
            <w:tcW w:w="21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其他条件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枝江市卫计局所属市直卫生计生单位</w:t>
            </w:r>
          </w:p>
        </w:tc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2</w:t>
            </w:r>
          </w:p>
        </w:tc>
        <w:tc>
          <w:tcPr>
            <w:tcW w:w="1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临床医学类、中医学类、中西医结合类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本科及以上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学士及以上</w:t>
            </w:r>
          </w:p>
        </w:tc>
        <w:tc>
          <w:tcPr>
            <w:tcW w:w="11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1982年1月1日及以后出生</w:t>
            </w:r>
          </w:p>
        </w:tc>
        <w:tc>
          <w:tcPr>
            <w:tcW w:w="21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原“985”、“211”高校全日制本科应届毕业生无相关执业资格要求，往届生需具备执业医师资格（2016年考过执业医师资格的提供成绩单）；普通本科学历需具备执业医师资格、副高级及以上职称（年龄可放宽至1977年1月1日及以后出生）；硕士研究生需具备执业医师资格（2016年考过执业医师资格的提供成绩单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枝江市直部门所属事业单位</w:t>
            </w:r>
          </w:p>
        </w:tc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15</w:t>
            </w:r>
          </w:p>
        </w:tc>
        <w:tc>
          <w:tcPr>
            <w:tcW w:w="1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计算机类、动物医学类、动物生产类、植物生产类、中国语言文学类、建筑类、旅游管理类、金融学类、食品工程类、机械类、心理学类、音乐与舞蹈学类、戏剧与影视学类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本科及以上</w:t>
            </w:r>
          </w:p>
        </w:tc>
        <w:tc>
          <w:tcPr>
            <w:tcW w:w="7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学士及以上</w:t>
            </w:r>
          </w:p>
        </w:tc>
        <w:tc>
          <w:tcPr>
            <w:tcW w:w="111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1982年1月1日及以后出生</w:t>
            </w:r>
          </w:p>
        </w:tc>
        <w:tc>
          <w:tcPr>
            <w:tcW w:w="21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  <w:t>本科仅指原“985”“211”高校全日制本科学历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D3D3D"/>
      <w:u w:val="none"/>
    </w:rPr>
  </w:style>
  <w:style w:type="character" w:styleId="5">
    <w:name w:val="Hyperlink"/>
    <w:basedOn w:val="3"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2017-08-15T10:45:44Z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