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2017年聊城江北水城旅游度假区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公开招聘聘任制中小学</w:t>
      </w:r>
      <w:r>
        <w:rPr>
          <w:rFonts w:hint="eastAsia" w:ascii="方正小标宋简体" w:eastAsia="方正小标宋简体"/>
          <w:sz w:val="44"/>
          <w:szCs w:val="44"/>
        </w:rPr>
        <w:t>教师递补人员名单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根据度假区研究决定，现按考试总成绩依次递补，现将递补人员公布如下。</w:t>
      </w:r>
    </w:p>
    <w:tbl>
      <w:tblPr>
        <w:tblStyle w:val="4"/>
        <w:tblW w:w="8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638"/>
        <w:gridCol w:w="2764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梁宁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0304950116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代晓琳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0306771421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张琳琳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0306911729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吕少锐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0309402209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王放放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0302323021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杜迪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0305433110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张彩娟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0324933927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武文娟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0315524429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王玲玲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0309584517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齐雯雯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0423081718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王楚雯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0400552012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王怀秋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0421363422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李秀秀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0412384921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常燕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0425272223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0405304307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小学英语</w:t>
            </w:r>
            <w:bookmarkStart w:id="0" w:name="_GoBack"/>
            <w:bookmarkEnd w:id="0"/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蔡立军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0416151228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张雪莹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0408392001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0408593106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李燕茹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0417224111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范明秀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0410314909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陈金鑫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0608162710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邴晓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0609750803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冯云鹤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0608981310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郭洪芳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0619771929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姜娟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0619402507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徐海芳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0821262229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孔祥珂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0919632824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中学音乐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陈建梅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1210550321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</w:tbl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聊城江北水城</w:t>
      </w:r>
      <w:r>
        <w:rPr>
          <w:rFonts w:ascii="仿宋_GB2312" w:eastAsia="仿宋_GB2312"/>
          <w:sz w:val="32"/>
          <w:szCs w:val="32"/>
        </w:rPr>
        <w:t>旅游</w:t>
      </w:r>
      <w:r>
        <w:rPr>
          <w:rFonts w:hint="eastAsia" w:ascii="仿宋_GB2312" w:eastAsia="仿宋_GB2312"/>
          <w:sz w:val="32"/>
          <w:szCs w:val="32"/>
        </w:rPr>
        <w:t>度假区政治工作部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8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06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2017-09-22T10:02:52Z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