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98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择优招聘计划和岗位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98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招聘总计划</w:t>
      </w:r>
      <w:r>
        <w:rPr>
          <w:rFonts w:hint="default" w:ascii="方正仿宋简体" w:hAnsi="方正仿宋简体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10人，根据报名及考核情况，岗位和计划可适当调整。</w:t>
      </w:r>
    </w:p>
    <w:tbl>
      <w:tblPr>
        <w:tblStyle w:val="4"/>
        <w:tblW w:w="946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413"/>
        <w:gridCol w:w="900"/>
        <w:gridCol w:w="63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科目</w:t>
            </w:r>
          </w:p>
        </w:tc>
        <w:tc>
          <w:tcPr>
            <w:tcW w:w="14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方向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计划数</w:t>
            </w:r>
          </w:p>
        </w:tc>
        <w:tc>
          <w:tcPr>
            <w:tcW w:w="6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数学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竞赛辅导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数学专业本科生或初等数学研究方向的研究生。高中阶段获省级竞赛一等奖者优先。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物理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竞赛辅导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物理专业的本科生或初等物理研究方向的研究生。高中阶段获省级竞赛一等奖者优先。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化学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竞赛辅导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化学专业的本科生或物理化学或无机方向的研究生。高中阶段获省级竞赛一等奖者优先。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生物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竞赛辅导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30"/>
                <w:szCs w:val="30"/>
              </w:rPr>
              <w:t>生物专业本科生或生物工程相关专业的研究生。高中阶段获省级竞赛一等奖者优先。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altName w:val="Vrinda"/>
    <w:panose1 w:val="02000500000000000000"/>
    <w:charset w:val="00"/>
    <w:family w:val="auto"/>
    <w:pitch w:val="default"/>
    <w:sig w:usb0="00000000" w:usb1="00000000" w:usb2="00000000" w:usb3="00000000" w:csb0="2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713DD"/>
    <w:rsid w:val="4B771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2017-10-25T00:35:33Z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