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方正小标宋_GBK" w:eastAsia="方正小标宋_GBK"/>
          <w:color w:val="000000" w:themeColor="text1"/>
          <w:sz w:val="32"/>
          <w:szCs w:val="32"/>
          <w14:textFill>
            <w14:solidFill>
              <w14:schemeClr w14:val="tx1"/>
            </w14:solidFill>
          </w14:textFill>
        </w:rPr>
      </w:pPr>
      <w:r>
        <w:rPr>
          <w:rFonts w:hint="eastAsia" w:ascii="方正小标宋_GBK" w:eastAsia="方正小标宋_GBK"/>
          <w:color w:val="000000" w:themeColor="text1"/>
          <w:sz w:val="32"/>
          <w:szCs w:val="32"/>
          <w14:textFill>
            <w14:solidFill>
              <w14:schemeClr w14:val="tx1"/>
            </w14:solidFill>
          </w14:textFill>
        </w:rPr>
        <w:t>附件1</w:t>
      </w:r>
    </w:p>
    <w:p>
      <w:pPr>
        <w:spacing w:line="560" w:lineRule="exact"/>
        <w:jc w:val="center"/>
        <w:rPr>
          <w:rFonts w:ascii="方正小标宋_GBK" w:eastAsia="方正小标宋_GBK"/>
          <w:color w:val="000000" w:themeColor="text1"/>
          <w:sz w:val="44"/>
          <w:szCs w:val="44"/>
          <w14:textFill>
            <w14:solidFill>
              <w14:schemeClr w14:val="tx1"/>
            </w14:solidFill>
          </w14:textFill>
        </w:rPr>
      </w:pPr>
      <w:r>
        <w:rPr>
          <w:rFonts w:hint="eastAsia" w:ascii="方正小标宋_GBK" w:eastAsia="方正小标宋_GBK"/>
          <w:color w:val="000000" w:themeColor="text1"/>
          <w:sz w:val="44"/>
          <w:szCs w:val="44"/>
          <w14:textFill>
            <w14:solidFill>
              <w14:schemeClr w14:val="tx1"/>
            </w14:solidFill>
          </w14:textFill>
        </w:rPr>
        <w:t>开州区2018年公开考核招聘教育事业单位专业技术人员岗位一览表</w:t>
      </w:r>
    </w:p>
    <w:p>
      <w:pPr>
        <w:spacing w:line="560" w:lineRule="exact"/>
        <w:rPr>
          <w:rFonts w:ascii="方正小标宋_GBK" w:eastAsia="方正小标宋_GBK"/>
          <w:color w:val="000000" w:themeColor="text1"/>
          <w:sz w:val="32"/>
          <w:szCs w:val="32"/>
          <w14:textFill>
            <w14:solidFill>
              <w14:schemeClr w14:val="tx1"/>
            </w14:solidFill>
          </w14:textFill>
        </w:rPr>
      </w:pPr>
    </w:p>
    <w:tbl>
      <w:tblPr>
        <w:tblStyle w:val="11"/>
        <w:tblW w:w="1568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2"/>
        <w:gridCol w:w="867"/>
        <w:gridCol w:w="990"/>
        <w:gridCol w:w="685"/>
        <w:gridCol w:w="641"/>
        <w:gridCol w:w="754"/>
        <w:gridCol w:w="828"/>
        <w:gridCol w:w="584"/>
        <w:gridCol w:w="3975"/>
        <w:gridCol w:w="2835"/>
        <w:gridCol w:w="1842"/>
        <w:gridCol w:w="12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27" w:hRule="atLeast"/>
          <w:tblHeader/>
          <w:jc w:val="center"/>
        </w:trPr>
        <w:tc>
          <w:tcPr>
            <w:tcW w:w="472" w:type="dxa"/>
            <w:tcMar>
              <w:left w:w="28" w:type="dxa"/>
              <w:right w:w="28" w:type="dxa"/>
            </w:tcMar>
            <w:vAlign w:val="center"/>
          </w:tcPr>
          <w:p>
            <w:pPr>
              <w:widowControl/>
              <w:spacing w:line="240" w:lineRule="exact"/>
              <w:jc w:val="center"/>
              <w:rPr>
                <w:rFonts w:asci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序号</w:t>
            </w:r>
          </w:p>
        </w:tc>
        <w:tc>
          <w:tcPr>
            <w:tcW w:w="867" w:type="dxa"/>
            <w:tcMar>
              <w:left w:w="28" w:type="dxa"/>
              <w:right w:w="28" w:type="dxa"/>
            </w:tcMar>
            <w:vAlign w:val="center"/>
          </w:tcPr>
          <w:p>
            <w:pPr>
              <w:widowControl/>
              <w:spacing w:line="240" w:lineRule="exact"/>
              <w:jc w:val="center"/>
              <w:rPr>
                <w:rFonts w:asci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主管部门</w:t>
            </w:r>
          </w:p>
        </w:tc>
        <w:tc>
          <w:tcPr>
            <w:tcW w:w="990" w:type="dxa"/>
            <w:tcMar>
              <w:left w:w="28" w:type="dxa"/>
              <w:right w:w="28" w:type="dxa"/>
            </w:tcMar>
            <w:vAlign w:val="center"/>
          </w:tcPr>
          <w:p>
            <w:pPr>
              <w:widowControl/>
              <w:spacing w:line="240" w:lineRule="exact"/>
              <w:jc w:val="center"/>
              <w:rPr>
                <w:rFonts w:asci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招聘单位</w:t>
            </w:r>
          </w:p>
        </w:tc>
        <w:tc>
          <w:tcPr>
            <w:tcW w:w="685" w:type="dxa"/>
            <w:tcMar>
              <w:left w:w="28" w:type="dxa"/>
              <w:right w:w="28" w:type="dxa"/>
            </w:tcMar>
            <w:vAlign w:val="center"/>
          </w:tcPr>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人员</w:t>
            </w:r>
          </w:p>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性质</w:t>
            </w:r>
          </w:p>
        </w:tc>
        <w:tc>
          <w:tcPr>
            <w:tcW w:w="641" w:type="dxa"/>
            <w:tcMar>
              <w:left w:w="28" w:type="dxa"/>
              <w:right w:w="28" w:type="dxa"/>
            </w:tcMar>
            <w:vAlign w:val="center"/>
          </w:tcPr>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经费</w:t>
            </w:r>
          </w:p>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性质</w:t>
            </w:r>
          </w:p>
        </w:tc>
        <w:tc>
          <w:tcPr>
            <w:tcW w:w="754" w:type="dxa"/>
            <w:tcMar>
              <w:left w:w="28" w:type="dxa"/>
              <w:right w:w="28" w:type="dxa"/>
            </w:tcMar>
            <w:vAlign w:val="center"/>
          </w:tcPr>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岗位</w:t>
            </w:r>
          </w:p>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名称</w:t>
            </w:r>
          </w:p>
        </w:tc>
        <w:tc>
          <w:tcPr>
            <w:tcW w:w="828" w:type="dxa"/>
            <w:tcMar>
              <w:left w:w="28" w:type="dxa"/>
              <w:right w:w="28" w:type="dxa"/>
            </w:tcMar>
            <w:vAlign w:val="center"/>
          </w:tcPr>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岗位</w:t>
            </w:r>
          </w:p>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等级</w:t>
            </w:r>
          </w:p>
        </w:tc>
        <w:tc>
          <w:tcPr>
            <w:tcW w:w="584" w:type="dxa"/>
            <w:tcMar>
              <w:left w:w="28" w:type="dxa"/>
              <w:right w:w="28" w:type="dxa"/>
            </w:tcMar>
            <w:vAlign w:val="center"/>
          </w:tcPr>
          <w:p>
            <w:pPr>
              <w:widowControl/>
              <w:spacing w:line="240" w:lineRule="exact"/>
              <w:jc w:val="center"/>
              <w:rPr>
                <w:rFonts w:ascii="宋体" w:hAns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引进数量</w:t>
            </w:r>
          </w:p>
        </w:tc>
        <w:tc>
          <w:tcPr>
            <w:tcW w:w="3975" w:type="dxa"/>
            <w:tcMar>
              <w:left w:w="28" w:type="dxa"/>
              <w:right w:w="28" w:type="dxa"/>
            </w:tcMar>
            <w:vAlign w:val="center"/>
          </w:tcPr>
          <w:p>
            <w:pPr>
              <w:widowControl/>
              <w:spacing w:line="240" w:lineRule="exact"/>
              <w:jc w:val="center"/>
              <w:rPr>
                <w:rFonts w:asci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学历条件</w:t>
            </w:r>
          </w:p>
        </w:tc>
        <w:tc>
          <w:tcPr>
            <w:tcW w:w="2835" w:type="dxa"/>
            <w:tcMar>
              <w:left w:w="28" w:type="dxa"/>
              <w:right w:w="28" w:type="dxa"/>
            </w:tcMar>
            <w:vAlign w:val="center"/>
          </w:tcPr>
          <w:p>
            <w:pPr>
              <w:widowControl/>
              <w:spacing w:line="240" w:lineRule="exact"/>
              <w:jc w:val="center"/>
              <w:rPr>
                <w:rFonts w:asci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专业条件</w:t>
            </w:r>
          </w:p>
        </w:tc>
        <w:tc>
          <w:tcPr>
            <w:tcW w:w="1842" w:type="dxa"/>
            <w:tcMar>
              <w:left w:w="28" w:type="dxa"/>
              <w:right w:w="28" w:type="dxa"/>
            </w:tcMar>
            <w:vAlign w:val="center"/>
          </w:tcPr>
          <w:p>
            <w:pPr>
              <w:widowControl/>
              <w:spacing w:line="240" w:lineRule="exact"/>
              <w:jc w:val="center"/>
              <w:rPr>
                <w:rFonts w:asci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其他条件</w:t>
            </w:r>
          </w:p>
        </w:tc>
        <w:tc>
          <w:tcPr>
            <w:tcW w:w="1214" w:type="dxa"/>
            <w:tcMar>
              <w:left w:w="28" w:type="dxa"/>
              <w:right w:w="28" w:type="dxa"/>
            </w:tcMar>
            <w:vAlign w:val="center"/>
          </w:tcPr>
          <w:p>
            <w:pPr>
              <w:widowControl/>
              <w:spacing w:line="240" w:lineRule="exact"/>
              <w:jc w:val="center"/>
              <w:rPr>
                <w:rFonts w:ascii="宋体" w:cs="宋体"/>
                <w:b/>
                <w:bCs/>
                <w:color w:val="000000" w:themeColor="text1"/>
                <w:kern w:val="0"/>
                <w:sz w:val="18"/>
                <w:szCs w:val="18"/>
                <w14:textFill>
                  <w14:solidFill>
                    <w14:schemeClr w14:val="tx1"/>
                  </w14:solidFill>
                </w14:textFill>
              </w:rPr>
            </w:pPr>
            <w:r>
              <w:rPr>
                <w:rFonts w:hint="eastAsia" w:ascii="宋体" w:hAnsi="宋体" w:cs="宋体"/>
                <w:b/>
                <w:bCs/>
                <w:color w:val="000000" w:themeColor="text1"/>
                <w:kern w:val="0"/>
                <w:sz w:val="18"/>
                <w:szCs w:val="18"/>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3" w:hRule="atLeast"/>
          <w:jc w:val="center"/>
        </w:trPr>
        <w:tc>
          <w:tcPr>
            <w:tcW w:w="5237" w:type="dxa"/>
            <w:gridSpan w:val="7"/>
            <w:tcMar>
              <w:left w:w="28" w:type="dxa"/>
              <w:right w:w="28" w:type="dxa"/>
            </w:tcMar>
            <w:vAlign w:val="center"/>
          </w:tcPr>
          <w:p>
            <w:pPr>
              <w:widowControl/>
              <w:spacing w:line="240" w:lineRule="exact"/>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合计</w:t>
            </w:r>
          </w:p>
        </w:tc>
        <w:tc>
          <w:tcPr>
            <w:tcW w:w="584" w:type="dxa"/>
            <w:tcMar>
              <w:left w:w="28" w:type="dxa"/>
              <w:right w:w="28" w:type="dxa"/>
            </w:tcMar>
            <w:vAlign w:val="center"/>
          </w:tcPr>
          <w:p>
            <w:pPr>
              <w:jc w:val="center"/>
              <w:rPr>
                <w:rFonts w:ascii="宋体" w:hAnsi="宋体" w:cs="宋体"/>
                <w:b/>
                <w:color w:val="000000" w:themeColor="text1"/>
                <w:kern w:val="0"/>
                <w:sz w:val="18"/>
                <w:szCs w:val="18"/>
                <w14:textFill>
                  <w14:solidFill>
                    <w14:schemeClr w14:val="tx1"/>
                  </w14:solidFill>
                </w14:textFill>
              </w:rPr>
            </w:pPr>
            <w:r>
              <w:rPr>
                <w:rFonts w:hint="eastAsia" w:ascii="宋体" w:hAnsi="宋体" w:cs="宋体"/>
                <w:b/>
                <w:color w:val="000000" w:themeColor="text1"/>
                <w:kern w:val="0"/>
                <w:sz w:val="18"/>
                <w:szCs w:val="18"/>
                <w14:textFill>
                  <w14:solidFill>
                    <w14:schemeClr w14:val="tx1"/>
                  </w14:solidFill>
                </w14:textFill>
              </w:rPr>
              <w:t>91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bookmarkStart w:id="0" w:name="_GoBack"/>
            <w:bookmarkEnd w:id="0"/>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2018年全日制国家“双一流”建设高校应届本科毕业生及师范大学师范类应届本科毕业生并取得相应学位，在校期间必修课平均成绩须在75分及以上，且大学期间获得过校级三等及以上综合或专业奖学金。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widowControl/>
              <w:spacing w:line="28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对2018年全日制应届毕业生，须在2018年7月31日前取得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高中及以上层次教师资格证</w:t>
            </w:r>
            <w:r>
              <w:rPr>
                <w:rFonts w:hint="eastAsia" w:ascii="宋体" w:hAnsi="宋体" w:cs="宋体"/>
                <w:color w:val="000000" w:themeColor="text1"/>
                <w:kern w:val="0"/>
                <w:sz w:val="18"/>
                <w:szCs w:val="18"/>
                <w14:textFill>
                  <w14:solidFill>
                    <w14:schemeClr w14:val="tx1"/>
                  </w14:solidFill>
                </w14:textFill>
              </w:rPr>
              <w:t>，同时英语学科考生须取得英语专业八级及以上合格证书</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ind w:firstLine="180" w:firstLineChars="10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对非2018年全日制应届毕业生，须在报名资格审查前已取得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高中及以上层次教师资格证，同时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p>
        </w:tc>
        <w:tc>
          <w:tcPr>
            <w:tcW w:w="1214"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w:t>
            </w:r>
            <w:r>
              <w:rPr>
                <w:rFonts w:hint="eastAsia" w:ascii="宋体" w:hAnsi="宋体" w:cs="宋体"/>
                <w:color w:val="000000" w:themeColor="text1"/>
                <w:kern w:val="0"/>
                <w:sz w:val="18"/>
                <w:szCs w:val="18"/>
                <w14:textFill>
                  <w14:solidFill>
                    <w14:schemeClr w14:val="tx1"/>
                  </w14:solidFill>
                </w14:textFill>
              </w:rPr>
              <w:t>聘用单位</w:t>
            </w:r>
            <w:r>
              <w:rPr>
                <w:rFonts w:hint="eastAsia" w:ascii="宋体" w:hAnsi="宋体" w:cs="宋体"/>
                <w:color w:val="000000" w:themeColor="text1"/>
                <w:kern w:val="0"/>
                <w:sz w:val="18"/>
                <w:szCs w:val="18"/>
                <w14:textFill>
                  <w14:solidFill>
                    <w14:schemeClr w14:val="tx1"/>
                  </w14:solidFill>
                </w14:textFill>
              </w:rPr>
              <w:t>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高中语文教师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（中文专业方向）、中国语言文学类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9"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2</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63"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3</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英语</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外国语言文学类</w:t>
            </w:r>
            <w:r>
              <w:rPr>
                <w:rFonts w:hint="eastAsia" w:ascii="宋体" w:hAnsi="宋体" w:cs="宋体"/>
                <w:color w:val="000000" w:themeColor="text1"/>
                <w:kern w:val="0"/>
                <w:sz w:val="18"/>
                <w:szCs w:val="18"/>
                <w14:textFill>
                  <w14:solidFill>
                    <w14:schemeClr w14:val="tx1"/>
                  </w14:solidFill>
                </w14:textFill>
              </w:rPr>
              <w:t>（英语专业方向）、教育学类（英语专业方向）</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5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4</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物理</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（物理专业方向）、物理学类、天文学类、地球物理学类、力学类、机械类、电子信息类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9"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化学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（化学专业方向）、化学类、化工与制药类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2"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6</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生物</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（生物专业方向）、生物科学类、生物工程类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2"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7</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政治</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（政治专业方向）、哲学类、政治学类、马克思主义理论学类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97"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8</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地理</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（地理专业方向）、地理科学类、地质类、地质学类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61"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9</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开州区临江中学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高中语文教师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2018年全日制国家“双一流”建设高校应届本科毕业生及师范大学师范类应届本科毕业生并取得相应学位，在校期间必修课平均成绩须在75分及以上，且大学期间获得过校级三等及以上综合或专业奖学金。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（中文专业方向）、中国语言文学类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widowControl/>
              <w:spacing w:line="24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对2018年全日制应届毕业生，须在2018年7月31日前取得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高中及以上层次教师资格证，同时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r>
              <w:rPr>
                <w:rFonts w:hint="eastAsia" w:ascii="宋体" w:hAnsi="宋体" w:cs="宋体"/>
                <w:color w:val="000000" w:themeColor="text1"/>
                <w:kern w:val="0"/>
                <w:sz w:val="18"/>
                <w:szCs w:val="18"/>
                <w14:textFill>
                  <w14:solidFill>
                    <w14:schemeClr w14:val="tx1"/>
                  </w14:solidFill>
                </w14:textFill>
              </w:rPr>
              <w:t>；</w:t>
            </w:r>
          </w:p>
          <w:p>
            <w:pPr>
              <w:widowControl/>
              <w:spacing w:line="240" w:lineRule="exact"/>
              <w:ind w:firstLine="270" w:firstLineChars="15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对非2018年全日制应届毕业生，须在报名资格审查前已取得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高中及以上层次教师资格证，同时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p>
        </w:tc>
        <w:tc>
          <w:tcPr>
            <w:tcW w:w="1214" w:type="dxa"/>
            <w:vMerge w:val="restart"/>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w:t>
            </w:r>
            <w:r>
              <w:rPr>
                <w:rFonts w:hint="eastAsia" w:ascii="宋体" w:hAnsi="宋体" w:cs="宋体"/>
                <w:color w:val="000000" w:themeColor="text1"/>
                <w:kern w:val="0"/>
                <w:sz w:val="18"/>
                <w:szCs w:val="18"/>
                <w14:textFill>
                  <w14:solidFill>
                    <w14:schemeClr w14:val="tx1"/>
                  </w14:solidFill>
                </w14:textFill>
              </w:rPr>
              <w:t>聘用单位</w:t>
            </w:r>
            <w:r>
              <w:rPr>
                <w:rFonts w:hint="eastAsia" w:ascii="宋体" w:hAnsi="宋体" w:cs="宋体"/>
                <w:color w:val="000000" w:themeColor="text1"/>
                <w:kern w:val="0"/>
                <w:sz w:val="18"/>
                <w:szCs w:val="18"/>
                <w14:textFill>
                  <w14:solidFill>
                    <w14:schemeClr w14:val="tx1"/>
                  </w14:solidFill>
                </w14:textFill>
              </w:rPr>
              <w:t>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0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10</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开州区临江中学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75"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开州区临江中学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英语</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外国语言文学类</w:t>
            </w:r>
            <w:r>
              <w:rPr>
                <w:rFonts w:hint="eastAsia" w:ascii="宋体" w:hAnsi="宋体" w:cs="宋体"/>
                <w:color w:val="000000" w:themeColor="text1"/>
                <w:kern w:val="0"/>
                <w:sz w:val="18"/>
                <w:szCs w:val="18"/>
                <w14:textFill>
                  <w14:solidFill>
                    <w14:schemeClr w14:val="tx1"/>
                  </w14:solidFill>
                </w14:textFill>
              </w:rPr>
              <w:t>（英语专业方向）、教育学类（英语专业方向）</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8"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12</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开州区临江中学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物理</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（物理专业方向）、物理学类、天文学类、地球物理学类、力学类、机械类、电子信息类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13</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开州区临江中学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生物</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（生物专业方向）、生物科学类、生物工程类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7"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14</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开州区临江中学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历史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（历史专业方向）、历史学类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27"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15</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开州区临江中学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信息技术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（教育技术专业方向）、计算机类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16</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开州区实验中学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语文</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2018年全日制国家“双一流”建设高校应届本科毕业生及师范大学师范类应届本科毕业生并取得相应学位，在校期间必修课平均成绩须在75分及以上，且大学期间获得过校级三等及以上综合或专业奖学金。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（中文专业方向）、中国语言文学类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spacing w:line="24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对2018年全日制应届毕业生，须在2018年7月31日前取得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高（职）中及以上层次教师资格证，同时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r>
              <w:rPr>
                <w:rFonts w:hint="eastAsia" w:ascii="宋体" w:hAnsi="宋体" w:cs="宋体"/>
                <w:color w:val="000000" w:themeColor="text1"/>
                <w:kern w:val="0"/>
                <w:sz w:val="18"/>
                <w:szCs w:val="18"/>
                <w14:textFill>
                  <w14:solidFill>
                    <w14:schemeClr w14:val="tx1"/>
                  </w14:solidFill>
                </w14:textFill>
              </w:rPr>
              <w:t>；</w:t>
            </w:r>
          </w:p>
          <w:p>
            <w:pPr>
              <w:spacing w:line="240" w:lineRule="exact"/>
              <w:ind w:firstLine="180" w:firstLineChars="10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对非2018年全日制应届毕业生，须在报名资格审查前已取得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高（职）中及以上层次教师资格证，同时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p>
        </w:tc>
        <w:tc>
          <w:tcPr>
            <w:tcW w:w="1214" w:type="dxa"/>
            <w:vMerge w:val="restart"/>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9"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17</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开州区实验中学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5"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18</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开州区实验中学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2"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19</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开州区实验中学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化学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（化学专业方向）、化学类、化工与制药类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2"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20</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开州区实验中学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政治</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（政治专业方向）、哲学类、政治学类、马克思主义理论学类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50"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开州区实验中学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历史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（历史专业方向）、历史学类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0"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22</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开州区丰乐中学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33"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23</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开州区丰乐中学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英语</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外国语言文学类</w:t>
            </w:r>
            <w:r>
              <w:rPr>
                <w:rFonts w:hint="eastAsia" w:ascii="宋体" w:hAnsi="宋体" w:cs="宋体"/>
                <w:color w:val="000000" w:themeColor="text1"/>
                <w:kern w:val="0"/>
                <w:sz w:val="18"/>
                <w:szCs w:val="18"/>
                <w14:textFill>
                  <w14:solidFill>
                    <w14:schemeClr w14:val="tx1"/>
                  </w14:solidFill>
                </w14:textFill>
              </w:rPr>
              <w:t>（英语专业方向）、教育学类（英语专业方向）</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0"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24</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开州区丰乐中学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生物</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（生物专业方向）、生物科学类、生物工程类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1"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25</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开州区</w:t>
            </w:r>
            <w:r>
              <w:rPr>
                <w:rFonts w:ascii="宋体" w:hAnsi="宋体" w:cs="宋体"/>
                <w:color w:val="000000" w:themeColor="text1"/>
                <w:kern w:val="0"/>
                <w:sz w:val="18"/>
                <w:szCs w:val="18"/>
                <w14:textFill>
                  <w14:solidFill>
                    <w14:schemeClr w14:val="tx1"/>
                  </w14:solidFill>
                </w14:textFill>
              </w:rPr>
              <w:t>职业教育中心</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职中英语教师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外国语言文学类</w:t>
            </w:r>
            <w:r>
              <w:rPr>
                <w:rFonts w:hint="eastAsia" w:ascii="宋体" w:hAnsi="宋体" w:cs="宋体"/>
                <w:color w:val="000000" w:themeColor="text1"/>
                <w:kern w:val="0"/>
                <w:sz w:val="18"/>
                <w:szCs w:val="18"/>
                <w14:textFill>
                  <w14:solidFill>
                    <w14:schemeClr w14:val="tx1"/>
                  </w14:solidFill>
                </w14:textFill>
              </w:rPr>
              <w:t>（英语专业方向）、教育学类（英语专业方向）</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26</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开州区</w:t>
            </w:r>
            <w:r>
              <w:rPr>
                <w:rFonts w:ascii="宋体" w:hAnsi="宋体" w:cs="宋体"/>
                <w:color w:val="000000" w:themeColor="text1"/>
                <w:kern w:val="0"/>
                <w:sz w:val="18"/>
                <w:szCs w:val="18"/>
                <w14:textFill>
                  <w14:solidFill>
                    <w14:schemeClr w14:val="tx1"/>
                  </w14:solidFill>
                </w14:textFill>
              </w:rPr>
              <w:t>职业教育中心</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职中教育学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教育学类（教育学专业方向）</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27</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开州区西街初级中学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w:t>
            </w:r>
            <w:r>
              <w:rPr>
                <w:rFonts w:ascii="宋体" w:hAnsi="宋体" w:cs="宋体"/>
                <w:color w:val="000000" w:themeColor="text1"/>
                <w:kern w:val="0"/>
                <w:sz w:val="18"/>
                <w:szCs w:val="18"/>
                <w14:textFill>
                  <w14:solidFill>
                    <w14:schemeClr w14:val="tx1"/>
                  </w14:solidFill>
                </w14:textFill>
              </w:rPr>
              <w:t>化学教师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2018年全日制国家“双一流”建设高校应届本科毕业生及师范大学师范类应届本科毕业生并取得相应学位，在校期间必修课平均成绩须在75分及以上，且大学期间获得过校级三等及以上综合或专业奖学金。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（化学专业方向）、化学类、化工与制药类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spacing w:line="24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对2018年全日制应届毕业生，须在2018年7月31日前取得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初中及以上层次教师资格证，同时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r>
              <w:rPr>
                <w:rFonts w:hint="eastAsia" w:ascii="宋体" w:hAnsi="宋体" w:cs="宋体"/>
                <w:color w:val="000000" w:themeColor="text1"/>
                <w:kern w:val="0"/>
                <w:sz w:val="18"/>
                <w:szCs w:val="18"/>
                <w14:textFill>
                  <w14:solidFill>
                    <w14:schemeClr w14:val="tx1"/>
                  </w14:solidFill>
                </w14:textFill>
              </w:rPr>
              <w:t>；</w:t>
            </w:r>
          </w:p>
          <w:p>
            <w:pPr>
              <w:spacing w:line="240" w:lineRule="exact"/>
              <w:ind w:firstLine="180" w:firstLineChars="10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对非2018年全日制应届毕业生，须在报名资格审查前已取得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初中及以上层次教师资格证，同时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p>
        </w:tc>
        <w:tc>
          <w:tcPr>
            <w:tcW w:w="1214" w:type="dxa"/>
            <w:vMerge w:val="restart"/>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95"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28</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开州区西街初级中学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初中政治</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（政治专业方向）、哲学类、政治学类、马克思主义理论学类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7"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29</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开州区西街初级中学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初中历史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（历史专业方向）、历史学类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8"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30</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开州区西街初级中学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初中生物</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（生物专业方向）、生物科学类、生物工程类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4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开州区德阳初级中学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初中语文</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（中文专业方向）、中国语言文学类、新闻传播学类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5"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32</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开州区德阳初级中学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33</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开州区文峰初级中学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初中英语</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外国语言文学类</w:t>
            </w:r>
            <w:r>
              <w:rPr>
                <w:rFonts w:hint="eastAsia" w:ascii="宋体" w:hAnsi="宋体" w:cs="宋体"/>
                <w:color w:val="000000" w:themeColor="text1"/>
                <w:kern w:val="0"/>
                <w:sz w:val="18"/>
                <w:szCs w:val="18"/>
                <w14:textFill>
                  <w14:solidFill>
                    <w14:schemeClr w14:val="tx1"/>
                  </w14:solidFill>
                </w14:textFill>
              </w:rPr>
              <w:t>（英语专业方向）、教育学类（英语专业方向）</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34</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开州区文峰初级中学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初中生物</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（生物专业方向）、生物科学类、生物工程类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35</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开州区文峰初级中学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初中地理</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（地理专业方向）、地理科学类、地质类、地质学类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36</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开州区文峰初级中学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初中历史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（历史专业方向）、历史学类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4"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37</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开州区云枫初级中学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初中历史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2018年全日制国家“双一流”建设高校应届本科毕业生及师范大学师范类应届本科毕业生并取得相应学位，在校期间必修课平均成绩须在75分及以上，且大学期间获得过校级三等及以上综合或专业奖学金。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（历史专业方向）、历史学类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5"/>
                <w:szCs w:val="15"/>
                <w14:textFill>
                  <w14:solidFill>
                    <w14:schemeClr w14:val="tx1"/>
                  </w14:solidFill>
                </w14:textFill>
              </w:rPr>
            </w:pPr>
            <w:r>
              <w:rPr>
                <w:rFonts w:hint="eastAsia" w:ascii="宋体" w:hAnsi="宋体" w:cs="宋体"/>
                <w:color w:val="000000" w:themeColor="text1"/>
                <w:kern w:val="0"/>
                <w:sz w:val="15"/>
                <w:szCs w:val="15"/>
                <w14:textFill>
                  <w14:solidFill>
                    <w14:schemeClr w14:val="tx1"/>
                  </w14:solidFill>
                </w14:textFill>
              </w:rPr>
              <w:t>1. 年龄30周岁及以下；</w:t>
            </w:r>
          </w:p>
          <w:p>
            <w:pPr>
              <w:spacing w:line="240" w:lineRule="exact"/>
              <w:jc w:val="left"/>
              <w:rPr>
                <w:rFonts w:hint="eastAsia" w:ascii="宋体" w:hAnsi="宋体" w:cs="宋体"/>
                <w:color w:val="000000" w:themeColor="text1"/>
                <w:kern w:val="0"/>
                <w:sz w:val="15"/>
                <w:szCs w:val="15"/>
                <w14:textFill>
                  <w14:solidFill>
                    <w14:schemeClr w14:val="tx1"/>
                  </w14:solidFill>
                </w14:textFill>
              </w:rPr>
            </w:pPr>
            <w:r>
              <w:rPr>
                <w:rFonts w:hint="eastAsia" w:ascii="宋体" w:hAnsi="宋体" w:cs="宋体"/>
                <w:color w:val="000000" w:themeColor="text1"/>
                <w:kern w:val="0"/>
                <w:sz w:val="15"/>
                <w:szCs w:val="15"/>
                <w14:textFill>
                  <w14:solidFill>
                    <w14:schemeClr w14:val="tx1"/>
                  </w14:solidFill>
                </w14:textFill>
              </w:rPr>
              <w:t>2. 对2018年全日制应届毕业生，须在2018年7月31日前取得</w:t>
            </w:r>
            <w:r>
              <w:rPr>
                <w:rFonts w:hint="eastAsia" w:ascii="宋体" w:hAnsi="宋体" w:cs="宋体"/>
                <w:color w:val="000000" w:themeColor="text1"/>
                <w:kern w:val="0"/>
                <w:sz w:val="15"/>
                <w:szCs w:val="15"/>
                <w14:textFill>
                  <w14:solidFill>
                    <w14:schemeClr w14:val="tx1"/>
                  </w14:solidFill>
                </w14:textFill>
              </w:rPr>
              <w:t>与学科相对应的</w:t>
            </w:r>
            <w:r>
              <w:rPr>
                <w:rFonts w:hint="eastAsia" w:ascii="宋体" w:hAnsi="宋体" w:cs="宋体"/>
                <w:color w:val="000000" w:themeColor="text1"/>
                <w:kern w:val="0"/>
                <w:sz w:val="15"/>
                <w:szCs w:val="15"/>
                <w14:textFill>
                  <w14:solidFill>
                    <w14:schemeClr w14:val="tx1"/>
                  </w14:solidFill>
                </w14:textFill>
              </w:rPr>
              <w:t>初中及以上层次教师资格证，同时</w:t>
            </w:r>
            <w:r>
              <w:rPr>
                <w:rFonts w:hint="eastAsia" w:ascii="宋体" w:hAnsi="宋体" w:cs="宋体"/>
                <w:color w:val="000000" w:themeColor="text1"/>
                <w:kern w:val="0"/>
                <w:sz w:val="15"/>
                <w:szCs w:val="15"/>
                <w14:textFill>
                  <w14:solidFill>
                    <w14:schemeClr w14:val="tx1"/>
                  </w14:solidFill>
                </w14:textFill>
              </w:rPr>
              <w:t>英语学科考生须取得英语专业八级及以上合格证书</w:t>
            </w:r>
            <w:r>
              <w:rPr>
                <w:rFonts w:hint="eastAsia" w:ascii="宋体" w:hAnsi="宋体" w:cs="宋体"/>
                <w:color w:val="000000" w:themeColor="text1"/>
                <w:kern w:val="0"/>
                <w:sz w:val="15"/>
                <w:szCs w:val="15"/>
                <w14:textFill>
                  <w14:solidFill>
                    <w14:schemeClr w14:val="tx1"/>
                  </w14:solidFill>
                </w14:textFill>
              </w:rPr>
              <w:t>；</w:t>
            </w:r>
          </w:p>
          <w:p>
            <w:pPr>
              <w:spacing w:line="240" w:lineRule="exact"/>
              <w:ind w:firstLine="150" w:firstLineChars="10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5"/>
                <w:szCs w:val="15"/>
                <w14:textFill>
                  <w14:solidFill>
                    <w14:schemeClr w14:val="tx1"/>
                  </w14:solidFill>
                </w14:textFill>
              </w:rPr>
              <w:t>对非2018年全日制应届毕业生，须在报名资格审查前已取得</w:t>
            </w:r>
            <w:r>
              <w:rPr>
                <w:rFonts w:hint="eastAsia" w:ascii="宋体" w:hAnsi="宋体" w:cs="宋体"/>
                <w:color w:val="000000" w:themeColor="text1"/>
                <w:kern w:val="0"/>
                <w:sz w:val="15"/>
                <w:szCs w:val="15"/>
                <w14:textFill>
                  <w14:solidFill>
                    <w14:schemeClr w14:val="tx1"/>
                  </w14:solidFill>
                </w14:textFill>
              </w:rPr>
              <w:t>与学科相对应的</w:t>
            </w:r>
            <w:r>
              <w:rPr>
                <w:rFonts w:hint="eastAsia" w:ascii="宋体" w:hAnsi="宋体" w:cs="宋体"/>
                <w:color w:val="000000" w:themeColor="text1"/>
                <w:kern w:val="0"/>
                <w:sz w:val="15"/>
                <w:szCs w:val="15"/>
                <w14:textFill>
                  <w14:solidFill>
                    <w14:schemeClr w14:val="tx1"/>
                  </w14:solidFill>
                </w14:textFill>
              </w:rPr>
              <w:t>初中及以上层次教师资格证，同时</w:t>
            </w:r>
            <w:r>
              <w:rPr>
                <w:rFonts w:hint="eastAsia" w:ascii="宋体" w:hAnsi="宋体" w:cs="宋体"/>
                <w:color w:val="000000" w:themeColor="text1"/>
                <w:kern w:val="0"/>
                <w:sz w:val="15"/>
                <w:szCs w:val="15"/>
                <w14:textFill>
                  <w14:solidFill>
                    <w14:schemeClr w14:val="tx1"/>
                  </w14:solidFill>
                </w14:textFill>
              </w:rPr>
              <w:t>英语学科考生须取得英语专业八级及以上合格证书</w:t>
            </w:r>
          </w:p>
        </w:tc>
        <w:tc>
          <w:tcPr>
            <w:tcW w:w="1214" w:type="dxa"/>
            <w:vMerge w:val="restart"/>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1"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38</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开州区云枫初级中学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初中英语</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外国语言文学类</w:t>
            </w:r>
            <w:r>
              <w:rPr>
                <w:rFonts w:hint="eastAsia" w:ascii="宋体" w:hAnsi="宋体" w:cs="宋体"/>
                <w:color w:val="000000" w:themeColor="text1"/>
                <w:kern w:val="0"/>
                <w:sz w:val="18"/>
                <w:szCs w:val="18"/>
                <w14:textFill>
                  <w14:solidFill>
                    <w14:schemeClr w14:val="tx1"/>
                  </w14:solidFill>
                </w14:textFill>
              </w:rPr>
              <w:t>（英语专业方向）、教育学类（英语专业方向）</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8"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39</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开州区云枫初级中学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初中生物</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（生物专业方向）、生物科学类、生物工程类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4"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40</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开州区汉丰第一小学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小学语文教师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2018年全日制国家“双一流”建设高校应届本科毕业生及师范大学师范类应届本科毕业生并取得相应学位，在校期间必修课平均成绩须在75分及以上，且大学期间获得过校级三等及以上综合或专业奖学金。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（中文专业方向）、中国语言文学类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小学及以上层次教师资格证；非2018年全日制应届毕业生，须在报名资格审查前已取得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小学及以上层次教师资格证</w:t>
            </w:r>
          </w:p>
        </w:tc>
        <w:tc>
          <w:tcPr>
            <w:tcW w:w="1214" w:type="dxa"/>
            <w:vMerge w:val="restart"/>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04"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开州区汉丰第一小学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28"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42</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第二小学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信息技术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（教育技术专业方向）、计算机类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43</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三</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科学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（科学教育专业方向）</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7"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44</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四</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科学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（科学教育专业方向）</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5"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45</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五</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信息技术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（教育技术专业方向）、计算机类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54"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46</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八</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语文</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2018年全日制国家“双一流”建设高校应届本科毕业生及师范大学师范类应届本科毕业生并取得相应学位，在校期间必修课平均成绩须在75分及以上，且大学期间获得过校级三等及以上综合或专业奖学金。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（中文专业方向）、中国语言文学类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spacing w:line="240" w:lineRule="exact"/>
              <w:jc w:val="left"/>
              <w:rPr>
                <w:rFonts w:hint="eastAsia"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2.对2018年全日制应届毕业生，须在2018年7月31日前取得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小学及以上层次教师资格证，同时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r>
              <w:rPr>
                <w:rFonts w:hint="eastAsia" w:ascii="宋体" w:hAnsi="宋体" w:cs="宋体"/>
                <w:color w:val="000000" w:themeColor="text1"/>
                <w:kern w:val="0"/>
                <w:sz w:val="18"/>
                <w:szCs w:val="18"/>
                <w14:textFill>
                  <w14:solidFill>
                    <w14:schemeClr w14:val="tx1"/>
                  </w14:solidFill>
                </w14:textFill>
              </w:rPr>
              <w:t>；</w:t>
            </w:r>
          </w:p>
          <w:p>
            <w:pPr>
              <w:spacing w:line="240" w:lineRule="exact"/>
              <w:ind w:firstLine="180" w:firstLineChars="100"/>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对非2018年全日制应届毕业生，须在报名资格审查前取得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小学及以上层次教师资格证，同时</w:t>
            </w:r>
            <w:r>
              <w:rPr>
                <w:rFonts w:hint="eastAsia" w:ascii="宋体" w:hAnsi="宋体" w:cs="宋体"/>
                <w:color w:val="000000" w:themeColor="text1"/>
                <w:kern w:val="0"/>
                <w:sz w:val="18"/>
                <w:szCs w:val="18"/>
                <w14:textFill>
                  <w14:solidFill>
                    <w14:schemeClr w14:val="tx1"/>
                  </w14:solidFill>
                </w14:textFill>
              </w:rPr>
              <w:t>英语学科考生须取得英语专业八级及以上合格证书</w:t>
            </w:r>
          </w:p>
        </w:tc>
        <w:tc>
          <w:tcPr>
            <w:tcW w:w="1214" w:type="dxa"/>
            <w:vMerge w:val="restart"/>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69"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47</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八</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数学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（数学专业方向）、数学类</w:t>
            </w:r>
          </w:p>
        </w:tc>
        <w:tc>
          <w:tcPr>
            <w:tcW w:w="1842"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17"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48</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九</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英语</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外国语言文学类</w:t>
            </w:r>
            <w:r>
              <w:rPr>
                <w:rFonts w:hint="eastAsia" w:ascii="宋体" w:hAnsi="宋体" w:cs="宋体"/>
                <w:color w:val="000000" w:themeColor="text1"/>
                <w:kern w:val="0"/>
                <w:sz w:val="18"/>
                <w:szCs w:val="18"/>
                <w14:textFill>
                  <w14:solidFill>
                    <w14:schemeClr w14:val="tx1"/>
                  </w14:solidFill>
                </w14:textFill>
              </w:rPr>
              <w:t>（英语专业方向）、教育学类（英语专业方向）</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1"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49</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音乐</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高校应届本科毕业生并取得相应学位，在校期间必修课平均成绩须在75分及以上，且专业必修课平均成绩须在80分及以上，并符合下列条件：（1）体育学科获得国家二级及以上运动员称号；（2）音乐、美术学科获得专业类竞赛校级三等奖及以上</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（音乐专业方向）、音乐与舞蹈学类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高中及以上层次教师资格证；非2018年全日制应届毕业生，须在报名资格审查前取得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高中及以上层次教师资格证</w:t>
            </w:r>
          </w:p>
        </w:tc>
        <w:tc>
          <w:tcPr>
            <w:tcW w:w="1214" w:type="dxa"/>
            <w:vMerge w:val="restart"/>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24"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50</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高中</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405"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开州区</w:t>
            </w:r>
            <w:r>
              <w:rPr>
                <w:rFonts w:ascii="宋体" w:hAnsi="宋体" w:cs="宋体"/>
                <w:color w:val="000000" w:themeColor="text1"/>
                <w:kern w:val="0"/>
                <w:sz w:val="18"/>
                <w:szCs w:val="18"/>
                <w14:textFill>
                  <w14:solidFill>
                    <w14:schemeClr w14:val="tx1"/>
                  </w14:solidFill>
                </w14:textFill>
              </w:rPr>
              <w:t>职业教育中心</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职中美术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（美术专业方向）、美术学类、设计学类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52</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开州区西街初级中学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初中美术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高校应届本科毕业生并取得相应学位，在校期间必修课平均成绩须在75分及以上，且专业必修课平均成绩须在80分及以上，并符合下列条件：（1）体育学科获得国家二级及以上运动员称号；（2）音乐、美术学科获得专业类竞赛校级三等奖及以上</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（美术专业方向）、美术学类、设计学类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初中及以上层次教师资格证；非2018年全日制应届毕业生，须在报名资格审查前取得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初中及以上层次教师资格证</w:t>
            </w:r>
          </w:p>
        </w:tc>
        <w:tc>
          <w:tcPr>
            <w:tcW w:w="1214" w:type="dxa"/>
            <w:vMerge w:val="restart"/>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3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53</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开州区西街初级中学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41"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54</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开州区德阳初级中学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初中音乐</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（音乐专业方向）、音乐与舞蹈学类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25"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55</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开州区文峰初级中学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初中美术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（美术专业方向）、美术学类、设计学类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46"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56</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开州区云枫初级中学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33"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57</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开州区云枫初级中学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初中美术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（美术专业方向）、美术学类、设计学类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599"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58</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开州区</w:t>
            </w:r>
            <w:r>
              <w:rPr>
                <w:rFonts w:ascii="宋体" w:hAnsi="宋体" w:cs="宋体"/>
                <w:color w:val="000000" w:themeColor="text1"/>
                <w:kern w:val="0"/>
                <w:sz w:val="18"/>
                <w:szCs w:val="18"/>
                <w14:textFill>
                  <w14:solidFill>
                    <w14:schemeClr w14:val="tx1"/>
                  </w14:solidFill>
                </w14:textFill>
              </w:rPr>
              <w:t>特殊教育学校</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特教体育教师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19"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59</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第二小学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高校应届本科毕业生并取得相应学位，在校期间必修课平均成绩须在75分及以上，且专业必修课平均成绩须在80分及以上，并符合下列条件：（1）体育学科获得国家二级及以上运动员称号；（2）音乐、美术学科获得专业类竞赛校级三等奖及以上</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2018年全日制应届毕业生，须在2018年7月31日前取得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小学及以上层次教师资格证；非2018年全日制应届毕业生，须在报名资格审查前取得</w:t>
            </w:r>
            <w:r>
              <w:rPr>
                <w:rFonts w:hint="eastAsia" w:ascii="宋体" w:hAnsi="宋体" w:cs="宋体"/>
                <w:color w:val="000000" w:themeColor="text1"/>
                <w:kern w:val="0"/>
                <w:sz w:val="18"/>
                <w:szCs w:val="18"/>
                <w14:textFill>
                  <w14:solidFill>
                    <w14:schemeClr w14:val="tx1"/>
                  </w14:solidFill>
                </w14:textFill>
              </w:rPr>
              <w:t>与学科相对应的</w:t>
            </w:r>
            <w:r>
              <w:rPr>
                <w:rFonts w:hint="eastAsia" w:ascii="宋体" w:hAnsi="宋体" w:cs="宋体"/>
                <w:color w:val="000000" w:themeColor="text1"/>
                <w:kern w:val="0"/>
                <w:sz w:val="18"/>
                <w:szCs w:val="18"/>
                <w14:textFill>
                  <w14:solidFill>
                    <w14:schemeClr w14:val="tx1"/>
                  </w14:solidFill>
                </w14:textFill>
              </w:rPr>
              <w:t>小学及以上层次教师资格证</w:t>
            </w:r>
          </w:p>
        </w:tc>
        <w:tc>
          <w:tcPr>
            <w:tcW w:w="1214" w:type="dxa"/>
            <w:vMerge w:val="restart"/>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877"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60</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三</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3"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四</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62</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五</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6"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63</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六</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音乐</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（音乐专业方向）、音乐与舞蹈学类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56"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64</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六</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72"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65</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七</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2"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66</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七</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美术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（美术专业方向）、美术学类、设计学类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0"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67</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八</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音乐</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（音乐专业方向）、音乐与舞蹈学类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62"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68</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八</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美术</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（美术专业方向）、美术学类、设计学类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52" w:hRule="atLeast"/>
          <w:jc w:val="center"/>
        </w:trPr>
        <w:tc>
          <w:tcPr>
            <w:tcW w:w="472"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69</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开州区</w:t>
            </w:r>
            <w:r>
              <w:rPr>
                <w:rFonts w:hint="eastAsia" w:ascii="宋体" w:hAnsi="宋体" w:cs="宋体"/>
                <w:color w:val="000000" w:themeColor="text1"/>
                <w:kern w:val="0"/>
                <w:sz w:val="18"/>
                <w:szCs w:val="18"/>
                <w14:textFill>
                  <w14:solidFill>
                    <w14:schemeClr w14:val="tx1"/>
                  </w14:solidFill>
                </w14:textFill>
              </w:rPr>
              <w:t>汉丰</w:t>
            </w:r>
            <w:r>
              <w:rPr>
                <w:rFonts w:ascii="宋体" w:hAnsi="宋体" w:cs="宋体"/>
                <w:color w:val="000000" w:themeColor="text1"/>
                <w:kern w:val="0"/>
                <w:sz w:val="18"/>
                <w:szCs w:val="18"/>
                <w14:textFill>
                  <w14:solidFill>
                    <w14:schemeClr w14:val="tx1"/>
                  </w14:solidFill>
                </w14:textFill>
              </w:rPr>
              <w:t>第</w:t>
            </w:r>
            <w:r>
              <w:rPr>
                <w:rFonts w:hint="eastAsia" w:ascii="宋体" w:hAnsi="宋体" w:cs="宋体"/>
                <w:color w:val="000000" w:themeColor="text1"/>
                <w:kern w:val="0"/>
                <w:sz w:val="18"/>
                <w:szCs w:val="18"/>
                <w14:textFill>
                  <w14:solidFill>
                    <w14:schemeClr w14:val="tx1"/>
                  </w14:solidFill>
                </w14:textFill>
              </w:rPr>
              <w:t>八</w:t>
            </w:r>
            <w:r>
              <w:rPr>
                <w:rFonts w:ascii="宋体" w:hAnsi="宋体" w:cs="宋体"/>
                <w:color w:val="000000" w:themeColor="text1"/>
                <w:kern w:val="0"/>
                <w:sz w:val="18"/>
                <w:szCs w:val="18"/>
                <w14:textFill>
                  <w14:solidFill>
                    <w14:schemeClr w14:val="tx1"/>
                  </w14:solidFill>
                </w14:textFill>
              </w:rPr>
              <w:t>小学</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小学</w:t>
            </w:r>
            <w:r>
              <w:rPr>
                <w:rFonts w:hint="eastAsia" w:ascii="宋体" w:hAnsi="宋体" w:cs="宋体"/>
                <w:color w:val="000000" w:themeColor="text1"/>
                <w:kern w:val="0"/>
                <w:sz w:val="18"/>
                <w:szCs w:val="18"/>
                <w14:textFill>
                  <w14:solidFill>
                    <w14:schemeClr w14:val="tx1"/>
                  </w14:solidFill>
                </w14:textFill>
              </w:rPr>
              <w:t>体育</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教育学类</w:t>
            </w:r>
            <w:r>
              <w:rPr>
                <w:rFonts w:hint="eastAsia" w:ascii="宋体" w:hAnsi="宋体" w:cs="宋体"/>
                <w:color w:val="000000" w:themeColor="text1"/>
                <w:kern w:val="0"/>
                <w:sz w:val="18"/>
                <w:szCs w:val="18"/>
                <w14:textFill>
                  <w14:solidFill>
                    <w14:schemeClr w14:val="tx1"/>
                  </w14:solidFill>
                </w14:textFill>
              </w:rPr>
              <w:t>（体育专业方向）、体育学类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51"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70</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开州区</w:t>
            </w:r>
            <w:r>
              <w:rPr>
                <w:rFonts w:ascii="宋体" w:hAnsi="宋体" w:cs="宋体"/>
                <w:color w:val="000000" w:themeColor="text1"/>
                <w:kern w:val="0"/>
                <w:sz w:val="18"/>
                <w:szCs w:val="18"/>
                <w14:textFill>
                  <w14:solidFill>
                    <w14:schemeClr w14:val="tx1"/>
                  </w14:solidFill>
                </w14:textFill>
              </w:rPr>
              <w:t>职业教育中心</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职中建筑学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w:t>
            </w:r>
          </w:p>
        </w:tc>
        <w:tc>
          <w:tcPr>
            <w:tcW w:w="3975"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 xml:space="preserve">1. </w:t>
            </w:r>
            <w:r>
              <w:rPr>
                <w:rFonts w:hint="eastAsia" w:ascii="宋体" w:hAnsi="宋体" w:cs="宋体"/>
                <w:color w:val="000000" w:themeColor="text1"/>
                <w:kern w:val="0"/>
                <w:sz w:val="18"/>
                <w:szCs w:val="18"/>
                <w:lang w:eastAsia="zh-CN"/>
                <w14:textFill>
                  <w14:solidFill>
                    <w14:schemeClr w14:val="tx1"/>
                  </w14:solidFill>
                </w14:textFill>
              </w:rPr>
              <w:t>全日制普通高校研究生学历并取得相应学位</w:t>
            </w:r>
            <w:r>
              <w:rPr>
                <w:rFonts w:hint="eastAsia" w:ascii="宋体" w:hAnsi="宋体" w:cs="宋体"/>
                <w:color w:val="000000" w:themeColor="text1"/>
                <w:kern w:val="0"/>
                <w:sz w:val="18"/>
                <w:szCs w:val="18"/>
                <w14:textFill>
                  <w14:solidFill>
                    <w14:schemeClr w14:val="tx1"/>
                  </w14:solidFill>
                </w14:textFill>
              </w:rPr>
              <w:t>；</w:t>
            </w:r>
          </w:p>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教育部直属6所师范院校2018年应届免费师范毕业生并取得相应学位，且在校期间必修课平均成绩须在75分及以上；</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3.</w:t>
            </w:r>
            <w:r>
              <w:rPr>
                <w:rFonts w:hint="eastAsia"/>
                <w:color w:val="000000" w:themeColor="text1"/>
                <w:sz w:val="18"/>
                <w:szCs w:val="18"/>
                <w14:textFill>
                  <w14:solidFill>
                    <w14:schemeClr w14:val="tx1"/>
                  </w14:solidFill>
                </w14:textFill>
              </w:rPr>
              <w:t xml:space="preserve"> </w:t>
            </w:r>
            <w:r>
              <w:rPr>
                <w:rFonts w:hint="eastAsia" w:ascii="宋体" w:hAnsi="宋体" w:cs="宋体"/>
                <w:color w:val="000000" w:themeColor="text1"/>
                <w:kern w:val="0"/>
                <w:sz w:val="18"/>
                <w:szCs w:val="18"/>
                <w14:textFill>
                  <w14:solidFill>
                    <w14:schemeClr w14:val="tx1"/>
                  </w14:solidFill>
                </w14:textFill>
              </w:rPr>
              <w:t>2018年全日制国家“双一流”建设高校本科应届毕业生并取得相应学位，在校期间必修课平均成绩须在75分及以上，且大学期间获得校级三等及以上综合或专业奖学金。</w:t>
            </w: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土木类</w:t>
            </w:r>
            <w:r>
              <w:rPr>
                <w:rFonts w:hint="eastAsia" w:ascii="宋体" w:hAnsi="宋体" w:cs="宋体"/>
                <w:color w:val="000000" w:themeColor="text1"/>
                <w:kern w:val="0"/>
                <w:sz w:val="18"/>
                <w:szCs w:val="18"/>
                <w14:textFill>
                  <w14:solidFill>
                    <w14:schemeClr w14:val="tx1"/>
                  </w14:solidFill>
                </w14:textFill>
              </w:rPr>
              <w:t>、</w:t>
            </w:r>
            <w:r>
              <w:rPr>
                <w:rFonts w:ascii="宋体" w:hAnsi="宋体" w:cs="宋体"/>
                <w:color w:val="000000" w:themeColor="text1"/>
                <w:kern w:val="0"/>
                <w:sz w:val="18"/>
                <w:szCs w:val="18"/>
                <w14:textFill>
                  <w14:solidFill>
                    <w14:schemeClr w14:val="tx1"/>
                  </w14:solidFill>
                </w14:textFill>
              </w:rPr>
              <w:t>建筑类</w:t>
            </w:r>
          </w:p>
        </w:tc>
        <w:tc>
          <w:tcPr>
            <w:tcW w:w="1842" w:type="dxa"/>
            <w:vMerge w:val="restart"/>
            <w:tcMar>
              <w:left w:w="28" w:type="dxa"/>
              <w:right w:w="28" w:type="dxa"/>
            </w:tcMar>
            <w:vAlign w:val="center"/>
          </w:tcPr>
          <w:p>
            <w:pPr>
              <w:widowControl/>
              <w:spacing w:line="28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1. 年龄30周岁及以下；</w:t>
            </w:r>
          </w:p>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 须聘用后1年试用期满前取得中职教师及以上教师资格证,否则取消聘用资格</w:t>
            </w:r>
          </w:p>
        </w:tc>
        <w:tc>
          <w:tcPr>
            <w:tcW w:w="1214" w:type="dxa"/>
            <w:vMerge w:val="restart"/>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聘用后</w:t>
            </w:r>
            <w:r>
              <w:rPr>
                <w:rFonts w:hint="eastAsia" w:ascii="宋体" w:hAnsi="宋体" w:cs="宋体"/>
                <w:color w:val="000000" w:themeColor="text1"/>
                <w:kern w:val="0"/>
                <w:sz w:val="18"/>
                <w:szCs w:val="18"/>
                <w14:textFill>
                  <w14:solidFill>
                    <w14:schemeClr w14:val="tx1"/>
                  </w14:solidFill>
                </w14:textFill>
              </w:rPr>
              <w:t>须在聘用单位服务满5年及以上，否则终止聘用合同，解除聘用关系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788" w:hRule="atLeast"/>
          <w:jc w:val="center"/>
        </w:trPr>
        <w:tc>
          <w:tcPr>
            <w:tcW w:w="472" w:type="dxa"/>
            <w:tcMar>
              <w:left w:w="28" w:type="dxa"/>
              <w:right w:w="28" w:type="dxa"/>
            </w:tcMar>
            <w:vAlign w:val="center"/>
          </w:tcPr>
          <w:p>
            <w:pPr>
              <w:widowControl/>
              <w:spacing w:line="240" w:lineRule="exact"/>
              <w:jc w:val="center"/>
              <w:rPr>
                <w:rFonts w:ascii="宋体" w:cs="宋体"/>
                <w:color w:val="000000" w:themeColor="text1"/>
                <w:kern w:val="0"/>
                <w:sz w:val="18"/>
                <w:szCs w:val="18"/>
                <w14:textFill>
                  <w14:solidFill>
                    <w14:schemeClr w14:val="tx1"/>
                  </w14:solidFill>
                </w14:textFill>
              </w:rPr>
            </w:pPr>
            <w:r>
              <w:rPr>
                <w:rFonts w:hint="eastAsia" w:ascii="宋体" w:cs="宋体"/>
                <w:color w:val="000000" w:themeColor="text1"/>
                <w:kern w:val="0"/>
                <w:sz w:val="18"/>
                <w:szCs w:val="18"/>
                <w14:textFill>
                  <w14:solidFill>
                    <w14:schemeClr w14:val="tx1"/>
                  </w14:solidFill>
                </w14:textFill>
              </w:rPr>
              <w:t>71</w:t>
            </w:r>
          </w:p>
        </w:tc>
        <w:tc>
          <w:tcPr>
            <w:tcW w:w="867"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区教委</w:t>
            </w:r>
          </w:p>
        </w:tc>
        <w:tc>
          <w:tcPr>
            <w:tcW w:w="990"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开州区</w:t>
            </w:r>
            <w:r>
              <w:rPr>
                <w:rFonts w:ascii="宋体" w:hAnsi="宋体" w:cs="宋体"/>
                <w:color w:val="000000" w:themeColor="text1"/>
                <w:kern w:val="0"/>
                <w:sz w:val="18"/>
                <w:szCs w:val="18"/>
                <w14:textFill>
                  <w14:solidFill>
                    <w14:schemeClr w14:val="tx1"/>
                  </w14:solidFill>
                </w14:textFill>
              </w:rPr>
              <w:t>职业教育中心</w:t>
            </w:r>
          </w:p>
        </w:tc>
        <w:tc>
          <w:tcPr>
            <w:tcW w:w="685"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事业</w:t>
            </w:r>
          </w:p>
        </w:tc>
        <w:tc>
          <w:tcPr>
            <w:tcW w:w="641"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全额</w:t>
            </w:r>
          </w:p>
        </w:tc>
        <w:tc>
          <w:tcPr>
            <w:tcW w:w="754"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职中旅游学</w:t>
            </w:r>
            <w:r>
              <w:rPr>
                <w:rFonts w:ascii="宋体" w:hAnsi="宋体" w:cs="宋体"/>
                <w:color w:val="000000" w:themeColor="text1"/>
                <w:kern w:val="0"/>
                <w:sz w:val="18"/>
                <w:szCs w:val="18"/>
                <w14:textFill>
                  <w14:solidFill>
                    <w14:schemeClr w14:val="tx1"/>
                  </w14:solidFill>
                </w14:textFill>
              </w:rPr>
              <w:t>教师</w:t>
            </w:r>
          </w:p>
        </w:tc>
        <w:tc>
          <w:tcPr>
            <w:tcW w:w="828" w:type="dxa"/>
            <w:tcMar>
              <w:left w:w="28" w:type="dxa"/>
              <w:right w:w="28" w:type="dxa"/>
            </w:tcMar>
            <w:vAlign w:val="center"/>
          </w:tcPr>
          <w:p>
            <w:pPr>
              <w:widowControl/>
              <w:spacing w:line="240" w:lineRule="exact"/>
              <w:jc w:val="center"/>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专技十三级及以上</w:t>
            </w:r>
          </w:p>
        </w:tc>
        <w:tc>
          <w:tcPr>
            <w:tcW w:w="584" w:type="dxa"/>
            <w:shd w:val="clear" w:color="000000" w:fill="FFFFFF"/>
            <w:tcMar>
              <w:left w:w="28" w:type="dxa"/>
              <w:right w:w="28" w:type="dxa"/>
            </w:tcMar>
            <w:vAlign w:val="center"/>
          </w:tcPr>
          <w:p>
            <w:pPr>
              <w:jc w:val="center"/>
              <w:rPr>
                <w:rFonts w:ascii="宋体" w:hAnsi="宋体" w:cs="宋体"/>
                <w:color w:val="000000" w:themeColor="text1"/>
                <w:kern w:val="0"/>
                <w:sz w:val="18"/>
                <w:szCs w:val="18"/>
                <w14:textFill>
                  <w14:solidFill>
                    <w14:schemeClr w14:val="tx1"/>
                  </w14:solidFill>
                </w14:textFill>
              </w:rPr>
            </w:pPr>
            <w:r>
              <w:rPr>
                <w:rFonts w:hint="eastAsia" w:ascii="宋体" w:hAnsi="宋体" w:cs="宋体"/>
                <w:color w:val="000000" w:themeColor="text1"/>
                <w:kern w:val="0"/>
                <w:sz w:val="18"/>
                <w:szCs w:val="18"/>
                <w14:textFill>
                  <w14:solidFill>
                    <w14:schemeClr w14:val="tx1"/>
                  </w14:solidFill>
                </w14:textFill>
              </w:rPr>
              <w:t>2</w:t>
            </w:r>
          </w:p>
        </w:tc>
        <w:tc>
          <w:tcPr>
            <w:tcW w:w="3975"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2835" w:type="dxa"/>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r>
              <w:rPr>
                <w:rFonts w:ascii="宋体" w:hAnsi="宋体" w:cs="宋体"/>
                <w:color w:val="000000" w:themeColor="text1"/>
                <w:kern w:val="0"/>
                <w:sz w:val="18"/>
                <w:szCs w:val="18"/>
                <w14:textFill>
                  <w14:solidFill>
                    <w14:schemeClr w14:val="tx1"/>
                  </w14:solidFill>
                </w14:textFill>
              </w:rPr>
              <w:t>旅游管理类</w:t>
            </w:r>
          </w:p>
        </w:tc>
        <w:tc>
          <w:tcPr>
            <w:tcW w:w="1842"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c>
          <w:tcPr>
            <w:tcW w:w="1214" w:type="dxa"/>
            <w:vMerge w:val="continue"/>
            <w:tcMar>
              <w:left w:w="28" w:type="dxa"/>
              <w:right w:w="28" w:type="dxa"/>
            </w:tcMar>
            <w:vAlign w:val="center"/>
          </w:tcPr>
          <w:p>
            <w:pPr>
              <w:widowControl/>
              <w:spacing w:line="240" w:lineRule="exact"/>
              <w:jc w:val="left"/>
              <w:rPr>
                <w:rFonts w:ascii="宋体" w:hAnsi="宋体" w:cs="宋体"/>
                <w:color w:val="000000" w:themeColor="text1"/>
                <w:kern w:val="0"/>
                <w:sz w:val="18"/>
                <w:szCs w:val="18"/>
                <w14:textFill>
                  <w14:solidFill>
                    <w14:schemeClr w14:val="tx1"/>
                  </w14:solidFill>
                </w14:textFill>
              </w:rPr>
            </w:pPr>
          </w:p>
        </w:tc>
      </w:tr>
    </w:tbl>
    <w:p>
      <w:pPr>
        <w:spacing w:line="560" w:lineRule="exact"/>
        <w:rPr>
          <w:rFonts w:ascii="方正小标宋_GBK" w:eastAsia="方正小标宋_GBK"/>
          <w:color w:val="000000" w:themeColor="text1"/>
          <w:sz w:val="32"/>
          <w:szCs w:val="32"/>
          <w14:textFill>
            <w14:solidFill>
              <w14:schemeClr w14:val="tx1"/>
            </w14:solidFill>
          </w14:textFill>
        </w:rPr>
      </w:pPr>
    </w:p>
    <w:p>
      <w:pPr>
        <w:rPr>
          <w:color w:val="000000" w:themeColor="text1"/>
          <w14:textFill>
            <w14:solidFill>
              <w14:schemeClr w14:val="tx1"/>
            </w14:solidFill>
          </w14:textFill>
        </w:rPr>
      </w:pPr>
    </w:p>
    <w:sectPr>
      <w:pgSz w:w="16838" w:h="11906" w:orient="landscape"/>
      <w:pgMar w:top="1418" w:right="1418" w:bottom="1531" w:left="1418"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modern"/>
    <w:pitch w:val="default"/>
    <w:sig w:usb0="E00002FF" w:usb1="400004FF" w:usb2="00000000" w:usb3="00000000" w:csb0="2000019F" w:csb1="00000000"/>
  </w:font>
  <w:font w:name="Calibri">
    <w:panose1 w:val="020F0502020204030204"/>
    <w:charset w:val="00"/>
    <w:family w:val="decorative"/>
    <w:pitch w:val="default"/>
    <w:sig w:usb0="E10002FF" w:usb1="4000ACFF" w:usb2="00000009" w:usb3="00000000" w:csb0="2000019F" w:csb1="00000000"/>
  </w:font>
  <w:font w:name="方正小标宋_GBK">
    <w:panose1 w:val="03000509000000000000"/>
    <w:charset w:val="86"/>
    <w:family w:val="script"/>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3A6C8A"/>
    <w:rsid w:val="000054D2"/>
    <w:rsid w:val="000239C1"/>
    <w:rsid w:val="0003027D"/>
    <w:rsid w:val="00066242"/>
    <w:rsid w:val="00066BD8"/>
    <w:rsid w:val="000A20ED"/>
    <w:rsid w:val="000A7056"/>
    <w:rsid w:val="00137EFD"/>
    <w:rsid w:val="00142C20"/>
    <w:rsid w:val="00151DA7"/>
    <w:rsid w:val="00180EF4"/>
    <w:rsid w:val="001B4A09"/>
    <w:rsid w:val="001B522F"/>
    <w:rsid w:val="001E1283"/>
    <w:rsid w:val="001F2D3D"/>
    <w:rsid w:val="0026056C"/>
    <w:rsid w:val="002A7323"/>
    <w:rsid w:val="002F1B2B"/>
    <w:rsid w:val="00363E95"/>
    <w:rsid w:val="003772B0"/>
    <w:rsid w:val="003832CA"/>
    <w:rsid w:val="0039579D"/>
    <w:rsid w:val="003A3189"/>
    <w:rsid w:val="003A6C8A"/>
    <w:rsid w:val="003E04E1"/>
    <w:rsid w:val="00405518"/>
    <w:rsid w:val="00422F5A"/>
    <w:rsid w:val="004262C4"/>
    <w:rsid w:val="004455B3"/>
    <w:rsid w:val="00451B65"/>
    <w:rsid w:val="00463433"/>
    <w:rsid w:val="004659A4"/>
    <w:rsid w:val="00466242"/>
    <w:rsid w:val="004959C3"/>
    <w:rsid w:val="00570FF2"/>
    <w:rsid w:val="005B07F1"/>
    <w:rsid w:val="005E3254"/>
    <w:rsid w:val="0061779D"/>
    <w:rsid w:val="00622233"/>
    <w:rsid w:val="00635236"/>
    <w:rsid w:val="00650559"/>
    <w:rsid w:val="00652835"/>
    <w:rsid w:val="0065488A"/>
    <w:rsid w:val="006964B3"/>
    <w:rsid w:val="006A1E3E"/>
    <w:rsid w:val="006B5B62"/>
    <w:rsid w:val="006C3197"/>
    <w:rsid w:val="006E1063"/>
    <w:rsid w:val="006F2E01"/>
    <w:rsid w:val="006F353E"/>
    <w:rsid w:val="006F68C9"/>
    <w:rsid w:val="00702E6B"/>
    <w:rsid w:val="0076012C"/>
    <w:rsid w:val="00764138"/>
    <w:rsid w:val="007A7BD6"/>
    <w:rsid w:val="007A7D49"/>
    <w:rsid w:val="007C172F"/>
    <w:rsid w:val="00806D46"/>
    <w:rsid w:val="008571A5"/>
    <w:rsid w:val="00894021"/>
    <w:rsid w:val="008A0EEA"/>
    <w:rsid w:val="008B097D"/>
    <w:rsid w:val="008D0DFC"/>
    <w:rsid w:val="008F2D46"/>
    <w:rsid w:val="0091013F"/>
    <w:rsid w:val="00952412"/>
    <w:rsid w:val="00966FF9"/>
    <w:rsid w:val="00982C9E"/>
    <w:rsid w:val="009C745C"/>
    <w:rsid w:val="009E58D3"/>
    <w:rsid w:val="009F13E4"/>
    <w:rsid w:val="009F7431"/>
    <w:rsid w:val="00A023CC"/>
    <w:rsid w:val="00A12B42"/>
    <w:rsid w:val="00A233A5"/>
    <w:rsid w:val="00A36B67"/>
    <w:rsid w:val="00A4130E"/>
    <w:rsid w:val="00A4528D"/>
    <w:rsid w:val="00A75D7F"/>
    <w:rsid w:val="00A77FD7"/>
    <w:rsid w:val="00A856B4"/>
    <w:rsid w:val="00B0581C"/>
    <w:rsid w:val="00B2031A"/>
    <w:rsid w:val="00B35BF2"/>
    <w:rsid w:val="00B70C56"/>
    <w:rsid w:val="00BD7828"/>
    <w:rsid w:val="00C53C3A"/>
    <w:rsid w:val="00C654C9"/>
    <w:rsid w:val="00C749DB"/>
    <w:rsid w:val="00CD65B5"/>
    <w:rsid w:val="00D06E9B"/>
    <w:rsid w:val="00D11133"/>
    <w:rsid w:val="00D50C1A"/>
    <w:rsid w:val="00D87293"/>
    <w:rsid w:val="00DC37D7"/>
    <w:rsid w:val="00DC6843"/>
    <w:rsid w:val="00DF58A1"/>
    <w:rsid w:val="00E20241"/>
    <w:rsid w:val="00E43B15"/>
    <w:rsid w:val="00E9008B"/>
    <w:rsid w:val="00E91C70"/>
    <w:rsid w:val="00E971C4"/>
    <w:rsid w:val="00ED17C1"/>
    <w:rsid w:val="00ED1B42"/>
    <w:rsid w:val="00EF43B1"/>
    <w:rsid w:val="00F41AEB"/>
    <w:rsid w:val="00F53BE8"/>
    <w:rsid w:val="00FB54C3"/>
    <w:rsid w:val="00FC587F"/>
    <w:rsid w:val="00FC5DB6"/>
    <w:rsid w:val="00FC7C55"/>
    <w:rsid w:val="00FD5E89"/>
    <w:rsid w:val="00FE0A3D"/>
    <w:rsid w:val="390A258B"/>
    <w:rsid w:val="3D296F63"/>
    <w:rsid w:val="409B7892"/>
    <w:rsid w:val="6B07293A"/>
    <w:rsid w:val="6E133EC0"/>
  </w:rsids>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nhideWhenUsed="0" w:uiPriority="0" w:semiHidden="0" w:name="header"/>
    <w:lsdException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0" w:semiHidden="0" w:name="Hyperlink"/>
    <w:lsdException w:qFormat="1" w:uiPriority="99" w:semiHidden="0"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nhideWhenUsed="0" w:uiPriority="0" w:semiHidden="0"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7">
    <w:name w:val="Default Paragraph Font"/>
    <w:unhideWhenUsed/>
    <w:uiPriority w:val="1"/>
  </w:style>
  <w:style w:type="table" w:default="1" w:styleId="11">
    <w:name w:val="Normal Table"/>
    <w:unhideWhenUsed/>
    <w:qFormat/>
    <w:uiPriority w:val="99"/>
    <w:tblPr>
      <w:tblLayout w:type="fixed"/>
      <w:tblCellMar>
        <w:top w:w="0" w:type="dxa"/>
        <w:left w:w="108" w:type="dxa"/>
        <w:bottom w:w="0" w:type="dxa"/>
        <w:right w:w="108" w:type="dxa"/>
      </w:tblCellMar>
    </w:tblPr>
  </w:style>
  <w:style w:type="paragraph" w:styleId="2">
    <w:name w:val="Date"/>
    <w:basedOn w:val="1"/>
    <w:next w:val="1"/>
    <w:link w:val="20"/>
    <w:uiPriority w:val="0"/>
    <w:pPr>
      <w:ind w:left="100" w:leftChars="2500"/>
    </w:pPr>
    <w:rPr>
      <w:rFonts w:asciiTheme="minorHAnsi" w:hAnsiTheme="minorHAnsi" w:eastAsiaTheme="minorEastAsia" w:cstheme="minorBidi"/>
    </w:rPr>
  </w:style>
  <w:style w:type="paragraph" w:styleId="3">
    <w:name w:val="Balloon Text"/>
    <w:basedOn w:val="1"/>
    <w:link w:val="16"/>
    <w:qFormat/>
    <w:uiPriority w:val="0"/>
    <w:rPr>
      <w:sz w:val="18"/>
      <w:szCs w:val="18"/>
    </w:rPr>
  </w:style>
  <w:style w:type="paragraph" w:styleId="4">
    <w:name w:val="footer"/>
    <w:basedOn w:val="1"/>
    <w:link w:val="12"/>
    <w:uiPriority w:val="0"/>
    <w:pPr>
      <w:tabs>
        <w:tab w:val="center" w:pos="4153"/>
        <w:tab w:val="right" w:pos="8306"/>
      </w:tabs>
      <w:snapToGrid w:val="0"/>
      <w:jc w:val="left"/>
    </w:pPr>
    <w:rPr>
      <w:sz w:val="18"/>
      <w:szCs w:val="18"/>
    </w:rPr>
  </w:style>
  <w:style w:type="paragraph" w:styleId="5">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6">
    <w:name w:val="HTML Preformatted"/>
    <w:basedOn w:val="1"/>
    <w:link w:val="17"/>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cs="宋体"/>
      <w:kern w:val="0"/>
      <w:sz w:val="24"/>
    </w:rPr>
  </w:style>
  <w:style w:type="character" w:styleId="8">
    <w:name w:val="page number"/>
    <w:basedOn w:val="7"/>
    <w:uiPriority w:val="0"/>
  </w:style>
  <w:style w:type="character" w:styleId="9">
    <w:name w:val="FollowedHyperlink"/>
    <w:basedOn w:val="7"/>
    <w:unhideWhenUsed/>
    <w:qFormat/>
    <w:uiPriority w:val="99"/>
    <w:rPr>
      <w:color w:val="800080" w:themeColor="followedHyperlink"/>
      <w:u w:val="single"/>
    </w:rPr>
  </w:style>
  <w:style w:type="character" w:styleId="10">
    <w:name w:val="Hyperlink"/>
    <w:qFormat/>
    <w:uiPriority w:val="0"/>
    <w:rPr>
      <w:color w:val="0563C1"/>
      <w:u w:val="single"/>
    </w:rPr>
  </w:style>
  <w:style w:type="character" w:customStyle="1" w:styleId="12">
    <w:name w:val="页脚 Char"/>
    <w:basedOn w:val="7"/>
    <w:link w:val="4"/>
    <w:uiPriority w:val="0"/>
    <w:rPr>
      <w:rFonts w:ascii="Times New Roman" w:hAnsi="Times New Roman" w:eastAsia="宋体" w:cs="Times New Roman"/>
      <w:sz w:val="18"/>
      <w:szCs w:val="18"/>
    </w:rPr>
  </w:style>
  <w:style w:type="character" w:customStyle="1" w:styleId="13">
    <w:name w:val="页眉 Char"/>
    <w:basedOn w:val="7"/>
    <w:link w:val="5"/>
    <w:uiPriority w:val="0"/>
    <w:rPr>
      <w:rFonts w:ascii="Times New Roman" w:hAnsi="Times New Roman" w:eastAsia="宋体" w:cs="Times New Roman"/>
      <w:sz w:val="18"/>
      <w:szCs w:val="18"/>
    </w:rPr>
  </w:style>
  <w:style w:type="paragraph" w:customStyle="1" w:styleId="14">
    <w:name w:val="_Style 9"/>
    <w:unhideWhenUsed/>
    <w:qFormat/>
    <w:uiPriority w:val="99"/>
    <w:pPr>
      <w:widowControl w:val="0"/>
      <w:jc w:val="both"/>
    </w:pPr>
    <w:rPr>
      <w:rFonts w:ascii="Times New Roman" w:hAnsi="Times New Roman" w:eastAsia="宋体" w:cs="Times New Roman"/>
      <w:kern w:val="2"/>
      <w:sz w:val="21"/>
      <w:szCs w:val="24"/>
      <w:lang w:val="en-US" w:eastAsia="zh-CN" w:bidi="ar-SA"/>
    </w:rPr>
  </w:style>
  <w:style w:type="character" w:customStyle="1" w:styleId="15">
    <w:name w:val="未处理的提及"/>
    <w:unhideWhenUsed/>
    <w:qFormat/>
    <w:uiPriority w:val="99"/>
    <w:rPr>
      <w:color w:val="808080"/>
      <w:shd w:val="clear" w:color="auto" w:fill="E6E6E6"/>
    </w:rPr>
  </w:style>
  <w:style w:type="character" w:customStyle="1" w:styleId="16">
    <w:name w:val="批注框文本 Char"/>
    <w:basedOn w:val="7"/>
    <w:link w:val="3"/>
    <w:qFormat/>
    <w:uiPriority w:val="0"/>
    <w:rPr>
      <w:rFonts w:ascii="Times New Roman" w:hAnsi="Times New Roman" w:eastAsia="宋体" w:cs="Times New Roman"/>
      <w:sz w:val="18"/>
      <w:szCs w:val="18"/>
    </w:rPr>
  </w:style>
  <w:style w:type="character" w:customStyle="1" w:styleId="17">
    <w:name w:val="HTML 预设格式 Char"/>
    <w:basedOn w:val="7"/>
    <w:link w:val="6"/>
    <w:qFormat/>
    <w:uiPriority w:val="0"/>
    <w:rPr>
      <w:rFonts w:ascii="宋体" w:hAnsi="宋体" w:eastAsia="宋体" w:cs="宋体"/>
      <w:kern w:val="0"/>
      <w:sz w:val="24"/>
      <w:szCs w:val="24"/>
    </w:rPr>
  </w:style>
  <w:style w:type="paragraph" w:customStyle="1" w:styleId="18">
    <w:name w:val="p0"/>
    <w:basedOn w:val="1"/>
    <w:qFormat/>
    <w:uiPriority w:val="0"/>
    <w:pPr>
      <w:widowControl/>
      <w:spacing w:before="100" w:beforeAutospacing="1" w:after="100" w:afterAutospacing="1"/>
      <w:jc w:val="left"/>
    </w:pPr>
    <w:rPr>
      <w:rFonts w:ascii="宋体" w:hAnsi="宋体" w:cs="宋体"/>
      <w:kern w:val="0"/>
      <w:sz w:val="24"/>
    </w:rPr>
  </w:style>
  <w:style w:type="character" w:customStyle="1" w:styleId="19">
    <w:name w:val="日期 Char"/>
    <w:basedOn w:val="7"/>
    <w:link w:val="2"/>
    <w:qFormat/>
    <w:uiPriority w:val="0"/>
    <w:rPr>
      <w:szCs w:val="24"/>
    </w:rPr>
  </w:style>
  <w:style w:type="character" w:customStyle="1" w:styleId="20">
    <w:name w:val="日期 Char1"/>
    <w:basedOn w:val="7"/>
    <w:link w:val="2"/>
    <w:semiHidden/>
    <w:qFormat/>
    <w:uiPriority w:val="99"/>
    <w:rPr>
      <w:rFonts w:ascii="Times New Roman" w:hAnsi="Times New Roman" w:eastAsia="宋体" w:cs="Times New Roman"/>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9</Pages>
  <Words>1300</Words>
  <Characters>7414</Characters>
  <Lines>61</Lines>
  <Paragraphs>17</Paragraphs>
  <TotalTime>0</TotalTime>
  <ScaleCrop>false</ScaleCrop>
  <LinksUpToDate>false</LinksUpToDate>
  <CharactersWithSpaces>8697</CharactersWithSpaces>
  <Application>WPS Office_10.8.0.5648_F1E327BC-269C-435d-A152-05C5408002CA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2018-03-20T01:57:00Z</dcterms:created>
  <dc:creator>微软用户</dc:creator>
  <cp:lastModifiedBy>Administrator</cp:lastModifiedBy>
  <cp:lastPrinted>2018-03-20T02:29:00Z</cp:lastPrinted>
  <dcterms:modified xsi:type="dcterms:W3CDTF">2018-03-22T08:38:24Z</dcterms:modified>
  <cp:revision>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2052-10.8.0.5648</vt:lpwstr>
  </property>
</Properties>
</file>