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653E5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90627"/>
            <wp:effectExtent l="19050" t="0" r="2540" b="0"/>
            <wp:docPr id="1" name="图片 1" descr="http://www.ruyuan.gov.cn/zw/rsgz/zkxx/201808/W02018082235723805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yuan.gov.cn/zw/rsgz/zkxx/201808/W020180822357238053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5" w:rsidRDefault="000653E5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0848"/>
            <wp:effectExtent l="19050" t="0" r="2540" b="0"/>
            <wp:docPr id="4" name="图片 4" descr="http://www.ruyuan.gov.cn/zw/rsgz/zkxx/201808/W0201808223572382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yuan.gov.cn/zw/rsgz/zkxx/201808/W020180822357238207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5" w:rsidRDefault="000653E5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784317"/>
            <wp:effectExtent l="19050" t="0" r="2540" b="0"/>
            <wp:docPr id="7" name="图片 7" descr="http://www.ruyuan.gov.cn/zw/rsgz/zkxx/201808/W02018082235723830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yuan.gov.cn/zw/rsgz/zkxx/201808/W020180822357238306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3E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653E5"/>
    <w:rsid w:val="001F5118"/>
    <w:rsid w:val="00323B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53E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53E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2018-08-22T05:30:00Z</dcterms:modified>
</cp:coreProperties>
</file>