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58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本批次招聘职位涉及公司所属16个市供电公司（含所属县级供电公司）和相关直属单位，主要安排在市、县供电公司生产一线岗位和直属单位</w:t>
      </w:r>
      <w:bookmarkStart w:id="0" w:name="_GoBack"/>
      <w:bookmarkEnd w:id="0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专业技术、技能岗位等。需求专业信息汇总如下（均指主修专业，不包含第二学位）：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2977"/>
        <w:gridCol w:w="1293"/>
        <w:gridCol w:w="975"/>
        <w:gridCol w:w="2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  <w:jc w:val="center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招聘专业</w:t>
            </w:r>
          </w:p>
        </w:tc>
        <w:tc>
          <w:tcPr>
            <w:tcW w:w="12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学历层次</w:t>
            </w:r>
          </w:p>
        </w:tc>
        <w:tc>
          <w:tcPr>
            <w:tcW w:w="9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26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工作所在地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电气工程及其自动化、电力系统及其自动化、电气工程，及相关专业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约109人</w:t>
            </w: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省会城市、地级市、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县及所属乡镇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发电厂及电力系统、供用电技术、高压输配电线路施工运行与维护，及相关专业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专科及以上</w:t>
            </w:r>
          </w:p>
        </w:tc>
        <w:tc>
          <w:tcPr>
            <w:tcW w:w="97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县所属乡镇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通信工程、通信与信息系统、计算机科学与技术，及相关专业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约22人</w:t>
            </w:r>
          </w:p>
        </w:tc>
        <w:tc>
          <w:tcPr>
            <w:tcW w:w="260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省会城市、地级市、县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会计学、财务管理，人力资源管理，机械工程，及相关专业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本科及以上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约25人</w:t>
            </w:r>
          </w:p>
        </w:tc>
        <w:tc>
          <w:tcPr>
            <w:tcW w:w="2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9" w:hRule="atLeast"/>
          <w:jc w:val="center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控制工程，安全工程，及相关专业</w:t>
            </w:r>
          </w:p>
        </w:tc>
        <w:tc>
          <w:tcPr>
            <w:tcW w:w="12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硕士及以上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楷体_GB2312" w:hAnsi="宋体" w:eastAsia="楷体_GB2312" w:cs="楷体_GB2312"/>
                <w:kern w:val="0"/>
                <w:sz w:val="21"/>
                <w:szCs w:val="21"/>
                <w:lang w:val="en-US" w:eastAsia="zh-CN" w:bidi="ar"/>
              </w:rPr>
              <w:t>约8人</w:t>
            </w:r>
          </w:p>
        </w:tc>
        <w:tc>
          <w:tcPr>
            <w:tcW w:w="260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F2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2019-03-07T11:09:18Z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