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79" w:leftChars="-514" w:right="-934" w:rightChars="-445" w:firstLine="1620" w:firstLineChars="450"/>
        <w:rPr>
          <w:rFonts w:hint="eastAsia" w:ascii="方正小标宋简体" w:eastAsia="方正小标宋简体"/>
          <w:sz w:val="36"/>
          <w:szCs w:val="36"/>
        </w:rPr>
      </w:pPr>
      <w:bookmarkStart w:id="0" w:name="_GoBack"/>
      <w:bookmarkEnd w:id="0"/>
    </w:p>
    <w:p>
      <w:pPr>
        <w:ind w:left="-1079" w:leftChars="-514" w:right="-934" w:rightChars="-445" w:firstLine="1350" w:firstLineChars="450"/>
        <w:rPr>
          <w:rFonts w:hint="eastAsia" w:ascii="方正小标宋简体" w:eastAsia="方正小标宋简体"/>
          <w:sz w:val="18"/>
          <w:szCs w:val="18"/>
        </w:rPr>
      </w:pPr>
      <w:r>
        <w:rPr>
          <w:rFonts w:hint="eastAsia" w:ascii="仿宋_GB2312" w:eastAsia="仿宋_GB2312"/>
          <w:sz w:val="30"/>
          <w:szCs w:val="3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-495300</wp:posOffset>
                </wp:positionV>
                <wp:extent cx="1143000" cy="693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693420"/>
                        </a:xfrm>
                        <a:prstGeom prst="rect">
                          <a:avLst/>
                        </a:prstGeom>
                        <a:noFill/>
                        <a:ln w="9525">
                          <a:noFill/>
                        </a:ln>
                      </wps:spPr>
                      <wps:txbx>
                        <w:txbxContent>
                          <w:p>
                            <w:pPr>
                              <w:ind w:left="-1079" w:leftChars="-514" w:right="-934" w:rightChars="-445" w:firstLine="1050" w:firstLineChars="350"/>
                              <w:rPr>
                                <w:rFonts w:hint="eastAsia" w:ascii="仿宋_GB2312" w:eastAsia="仿宋_GB2312"/>
                                <w:sz w:val="30"/>
                                <w:szCs w:val="30"/>
                              </w:rPr>
                            </w:pPr>
                            <w:r>
                              <w:rPr>
                                <w:rFonts w:hint="eastAsia" w:ascii="仿宋_GB2312" w:eastAsia="仿宋_GB2312"/>
                                <w:sz w:val="30"/>
                                <w:szCs w:val="30"/>
                              </w:rPr>
                              <w:t>附件1：</w:t>
                            </w:r>
                          </w:p>
                        </w:txbxContent>
                      </wps:txbx>
                      <wps:bodyPr upright="1"/>
                    </wps:wsp>
                  </a:graphicData>
                </a:graphic>
              </wp:anchor>
            </w:drawing>
          </mc:Choice>
          <mc:Fallback>
            <w:pict>
              <v:shape id="_x0000_s1026" o:spid="_x0000_s1026" o:spt="202" type="#_x0000_t202" style="position:absolute;left:0pt;margin-left:-36pt;margin-top:-39pt;height:54.6pt;width:90pt;z-index:251658240;mso-width-relative:page;mso-height-relative:page;" filled="f" stroked="f" coordsize="21600,21600" o:gfxdata="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Ys+Yp1QAAAAoBAAAPAAAAAAAAAAEAIAAAACIAAABkcnMv&#10;ZG93bnJldi54bWxQSwECFAAUAAAACACHTuJAAgcHqJQBAAAJAwAADgAAAAAAAAABACAAAAAkAQAA&#10;ZHJzL2Uyb0RvYy54bWxQSwUGAAAAAAYABgBZAQAAKgUAAAAA&#10;">
                <v:path/>
                <v:fill on="f" focussize="0,0"/>
                <v:stroke on="f"/>
                <v:imagedata o:title=""/>
                <o:lock v:ext="edit"/>
                <v:textbox>
                  <w:txbxContent>
                    <w:p>
                      <w:pPr>
                        <w:ind w:left="-1079" w:leftChars="-514" w:right="-934" w:rightChars="-445" w:firstLine="1050" w:firstLineChars="350"/>
                        <w:rPr>
                          <w:rFonts w:hint="eastAsia" w:ascii="仿宋_GB2312" w:eastAsia="仿宋_GB2312"/>
                          <w:sz w:val="30"/>
                          <w:szCs w:val="30"/>
                        </w:rPr>
                      </w:pPr>
                      <w:r>
                        <w:rPr>
                          <w:rFonts w:hint="eastAsia" w:ascii="仿宋_GB2312" w:eastAsia="仿宋_GB2312"/>
                          <w:sz w:val="30"/>
                          <w:szCs w:val="30"/>
                        </w:rPr>
                        <w:t>附件1：</w:t>
                      </w:r>
                    </w:p>
                  </w:txbxContent>
                </v:textbox>
              </v:shape>
            </w:pict>
          </mc:Fallback>
        </mc:AlternateContent>
      </w:r>
      <w:r>
        <w:rPr>
          <w:rFonts w:hint="eastAsia" w:ascii="方正小标宋简体" w:eastAsia="方正小标宋简体"/>
          <w:sz w:val="36"/>
          <w:szCs w:val="36"/>
        </w:rPr>
        <w:t>嘉兴经济技术开发区、嘉兴国际商务区国有企业公开招聘工作人员计划及岗位要求表</w:t>
      </w:r>
    </w:p>
    <w:tbl>
      <w:tblPr>
        <w:tblStyle w:val="3"/>
        <w:tblW w:w="13803" w:type="dxa"/>
        <w:jc w:val="center"/>
        <w:tblInd w:w="0" w:type="dxa"/>
        <w:tblLayout w:type="fixed"/>
        <w:tblCellMar>
          <w:top w:w="0" w:type="dxa"/>
          <w:left w:w="108" w:type="dxa"/>
          <w:bottom w:w="0" w:type="dxa"/>
          <w:right w:w="108" w:type="dxa"/>
        </w:tblCellMar>
      </w:tblPr>
      <w:tblGrid>
        <w:gridCol w:w="660"/>
        <w:gridCol w:w="1493"/>
        <w:gridCol w:w="655"/>
        <w:gridCol w:w="1440"/>
        <w:gridCol w:w="900"/>
        <w:gridCol w:w="3240"/>
        <w:gridCol w:w="3060"/>
        <w:gridCol w:w="2355"/>
      </w:tblGrid>
      <w:tr>
        <w:tblPrEx>
          <w:tblLayout w:type="fixed"/>
          <w:tblCellMar>
            <w:top w:w="0" w:type="dxa"/>
            <w:left w:w="108" w:type="dxa"/>
            <w:bottom w:w="0" w:type="dxa"/>
            <w:right w:w="108" w:type="dxa"/>
          </w:tblCellMar>
        </w:tblPrEx>
        <w:trPr>
          <w:trHeight w:val="54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序号</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招聘岗位</w:t>
            </w:r>
          </w:p>
        </w:tc>
        <w:tc>
          <w:tcPr>
            <w:tcW w:w="655"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招聘人数</w:t>
            </w:r>
          </w:p>
        </w:tc>
        <w:tc>
          <w:tcPr>
            <w:tcW w:w="144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学历</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学位</w:t>
            </w:r>
          </w:p>
        </w:tc>
        <w:tc>
          <w:tcPr>
            <w:tcW w:w="324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专业要求</w:t>
            </w:r>
          </w:p>
        </w:tc>
        <w:tc>
          <w:tcPr>
            <w:tcW w:w="306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hAnsi="宋体" w:eastAsia="仿宋_GB2312" w:cs="宋体"/>
                <w:b/>
                <w:bCs/>
                <w:szCs w:val="21"/>
              </w:rPr>
            </w:pPr>
            <w:r>
              <w:rPr>
                <w:rFonts w:hint="eastAsia" w:ascii="仿宋_GB2312" w:eastAsia="仿宋_GB2312"/>
                <w:b/>
                <w:bCs/>
                <w:szCs w:val="21"/>
              </w:rPr>
              <w:t>其他要求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
                <w:bCs/>
                <w:szCs w:val="21"/>
              </w:rPr>
            </w:pPr>
            <w:r>
              <w:rPr>
                <w:rFonts w:hint="eastAsia" w:ascii="仿宋_GB2312" w:eastAsia="仿宋_GB2312"/>
                <w:b/>
                <w:bCs/>
                <w:szCs w:val="21"/>
              </w:rPr>
              <w:t>备  注</w:t>
            </w:r>
          </w:p>
        </w:tc>
      </w:tr>
      <w:tr>
        <w:tblPrEx>
          <w:tblLayout w:type="fixed"/>
          <w:tblCellMar>
            <w:top w:w="0" w:type="dxa"/>
            <w:left w:w="108" w:type="dxa"/>
            <w:bottom w:w="0" w:type="dxa"/>
            <w:right w:w="108" w:type="dxa"/>
          </w:tblCellMar>
        </w:tblPrEx>
        <w:trPr>
          <w:trHeight w:val="54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Cs/>
                <w:szCs w:val="21"/>
              </w:rPr>
            </w:pPr>
            <w:r>
              <w:rPr>
                <w:rFonts w:hint="eastAsia" w:ascii="仿宋_GB2312" w:eastAsia="仿宋_GB2312"/>
                <w:bCs/>
                <w:szCs w:val="21"/>
              </w:rPr>
              <w:t>1</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行政管理</w:t>
            </w:r>
          </w:p>
        </w:tc>
        <w:tc>
          <w:tcPr>
            <w:tcW w:w="65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4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本科</w:t>
            </w:r>
          </w:p>
        </w:tc>
        <w:tc>
          <w:tcPr>
            <w:tcW w:w="90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学士</w:t>
            </w:r>
          </w:p>
        </w:tc>
        <w:tc>
          <w:tcPr>
            <w:tcW w:w="324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中国语言文学类、新</w:t>
            </w:r>
            <w:r>
              <w:rPr>
                <w:rFonts w:ascii="仿宋_GB2312" w:hAnsi="宋体" w:eastAsia="仿宋_GB2312" w:cs="宋体"/>
                <w:color w:val="000000"/>
                <w:kern w:val="0"/>
                <w:szCs w:val="21"/>
              </w:rPr>
              <w:t>闻传播学类</w:t>
            </w:r>
            <w:r>
              <w:rPr>
                <w:rFonts w:hint="eastAsia" w:ascii="仿宋_GB2312" w:hAnsi="宋体" w:eastAsia="仿宋_GB2312" w:cs="宋体"/>
                <w:color w:val="000000"/>
                <w:kern w:val="0"/>
                <w:szCs w:val="21"/>
              </w:rPr>
              <w:t>、秘书学、法学、哲学</w:t>
            </w:r>
          </w:p>
        </w:tc>
        <w:tc>
          <w:tcPr>
            <w:tcW w:w="3060" w:type="dxa"/>
            <w:tcBorders>
              <w:top w:val="single" w:color="auto" w:sz="4" w:space="0"/>
              <w:left w:val="nil"/>
              <w:bottom w:val="single" w:color="auto" w:sz="4" w:space="0"/>
              <w:right w:val="single" w:color="auto" w:sz="4" w:space="0"/>
            </w:tcBorders>
            <w:noWrap w:val="0"/>
            <w:vAlign w:val="center"/>
          </w:tcPr>
          <w:p>
            <w:pPr>
              <w:snapToGrid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2年及以上工作经历，中共党员。（</w:t>
            </w:r>
            <w:r>
              <w:rPr>
                <w:rFonts w:hint="eastAsia" w:ascii="仿宋_GB2312" w:eastAsia="仿宋_GB2312" w:cs="仿宋_GB2312"/>
                <w:color w:val="000000"/>
                <w:kern w:val="0"/>
                <w:szCs w:val="21"/>
              </w:rPr>
              <w:t>须提供个人社会保险参保证明和中共党员证明材料</w:t>
            </w:r>
            <w:r>
              <w:rPr>
                <w:rFonts w:hint="eastAsia" w:ascii="仿宋_GB2312" w:hAnsi="宋体" w:eastAsia="仿宋_GB2312" w:cs="宋体"/>
                <w:color w:val="000000"/>
                <w:kern w:val="0"/>
                <w:szCs w:val="21"/>
              </w:rPr>
              <w:t>）</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工作在区总工会</w:t>
            </w:r>
          </w:p>
        </w:tc>
      </w:tr>
      <w:tr>
        <w:tblPrEx>
          <w:tblLayout w:type="fixed"/>
          <w:tblCellMar>
            <w:top w:w="0" w:type="dxa"/>
            <w:left w:w="108" w:type="dxa"/>
            <w:bottom w:w="0" w:type="dxa"/>
            <w:right w:w="108" w:type="dxa"/>
          </w:tblCellMar>
        </w:tblPrEx>
        <w:trPr>
          <w:trHeight w:val="97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bCs/>
                <w:szCs w:val="21"/>
              </w:rPr>
            </w:pPr>
            <w:r>
              <w:rPr>
                <w:rFonts w:hint="eastAsia" w:ascii="仿宋_GB2312" w:eastAsia="仿宋_GB2312"/>
                <w:bCs/>
                <w:szCs w:val="21"/>
              </w:rPr>
              <w:t>2</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产业基金</w:t>
            </w:r>
          </w:p>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投资管理1</w:t>
            </w:r>
          </w:p>
        </w:tc>
        <w:tc>
          <w:tcPr>
            <w:tcW w:w="65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4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本科</w:t>
            </w:r>
          </w:p>
        </w:tc>
        <w:tc>
          <w:tcPr>
            <w:tcW w:w="90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学士</w:t>
            </w:r>
          </w:p>
        </w:tc>
        <w:tc>
          <w:tcPr>
            <w:tcW w:w="3240" w:type="dxa"/>
            <w:vMerge w:val="restart"/>
            <w:tcBorders>
              <w:top w:val="single" w:color="auto" w:sz="4" w:space="0"/>
              <w:left w:val="nil"/>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306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限男性。具有2年及以上基金业务或者其他金融业务的投资管理工作经验。（</w:t>
            </w:r>
            <w:r>
              <w:rPr>
                <w:rFonts w:hint="eastAsia" w:ascii="仿宋_GB2312" w:eastAsia="仿宋_GB2312" w:cs="仿宋_GB2312"/>
                <w:color w:val="000000"/>
                <w:kern w:val="0"/>
                <w:szCs w:val="21"/>
              </w:rPr>
              <w:t>须提供个人社会保险参保证明和从事投资的相关证明材料</w:t>
            </w:r>
            <w:r>
              <w:rPr>
                <w:rFonts w:hint="eastAsia" w:ascii="仿宋_GB2312" w:hAnsi="宋体" w:eastAsia="仿宋_GB2312" w:cs="宋体"/>
                <w:color w:val="000000"/>
                <w:kern w:val="0"/>
                <w:szCs w:val="21"/>
              </w:rPr>
              <w:t>）</w:t>
            </w:r>
          </w:p>
        </w:tc>
        <w:tc>
          <w:tcPr>
            <w:tcW w:w="2355"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工作在嘉兴经开产业</w:t>
            </w:r>
          </w:p>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基金投资管理有限公司</w:t>
            </w:r>
          </w:p>
        </w:tc>
      </w:tr>
      <w:tr>
        <w:tblPrEx>
          <w:tblLayout w:type="fixed"/>
          <w:tblCellMar>
            <w:top w:w="0" w:type="dxa"/>
            <w:left w:w="108" w:type="dxa"/>
            <w:bottom w:w="0" w:type="dxa"/>
            <w:right w:w="108" w:type="dxa"/>
          </w:tblCellMar>
        </w:tblPrEx>
        <w:trPr>
          <w:trHeight w:val="1088" w:hRule="atLeast"/>
          <w:jc w:val="center"/>
        </w:trPr>
        <w:tc>
          <w:tcPr>
            <w:tcW w:w="66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493"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产业基金</w:t>
            </w:r>
          </w:p>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投资管理2</w:t>
            </w:r>
          </w:p>
        </w:tc>
        <w:tc>
          <w:tcPr>
            <w:tcW w:w="655" w:type="dxa"/>
            <w:tcBorders>
              <w:top w:val="nil"/>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4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本科</w:t>
            </w: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学士</w:t>
            </w:r>
          </w:p>
        </w:tc>
        <w:tc>
          <w:tcPr>
            <w:tcW w:w="324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p>
        </w:tc>
        <w:tc>
          <w:tcPr>
            <w:tcW w:w="3060" w:type="dxa"/>
            <w:tcBorders>
              <w:top w:val="nil"/>
              <w:left w:val="nil"/>
              <w:bottom w:val="single" w:color="auto" w:sz="4" w:space="0"/>
              <w:right w:val="single" w:color="auto" w:sz="4" w:space="0"/>
            </w:tcBorders>
            <w:noWrap w:val="0"/>
            <w:vAlign w:val="center"/>
          </w:tcPr>
          <w:p>
            <w:pPr>
              <w:snapToGrid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限女性。具有2年及以上基金业务或者其他金融业务的投资管理工作经验。（</w:t>
            </w:r>
            <w:r>
              <w:rPr>
                <w:rFonts w:hint="eastAsia" w:ascii="仿宋_GB2312" w:eastAsia="仿宋_GB2312" w:cs="仿宋_GB2312"/>
                <w:color w:val="000000"/>
                <w:kern w:val="0"/>
                <w:szCs w:val="21"/>
              </w:rPr>
              <w:t>须提供个人社会保险参保证明和从事投资的相关证明材料</w:t>
            </w:r>
            <w:r>
              <w:rPr>
                <w:rFonts w:hint="eastAsia" w:ascii="仿宋_GB2312" w:hAnsi="宋体" w:eastAsia="仿宋_GB2312" w:cs="宋体"/>
                <w:color w:val="000000"/>
                <w:kern w:val="0"/>
                <w:szCs w:val="21"/>
              </w:rPr>
              <w:t>）</w:t>
            </w:r>
          </w:p>
        </w:tc>
        <w:tc>
          <w:tcPr>
            <w:tcW w:w="2355"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2322" w:hRule="atLeast"/>
          <w:jc w:val="center"/>
        </w:trPr>
        <w:tc>
          <w:tcPr>
            <w:tcW w:w="66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493"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基金管理</w:t>
            </w:r>
          </w:p>
        </w:tc>
        <w:tc>
          <w:tcPr>
            <w:tcW w:w="655" w:type="dxa"/>
            <w:tcBorders>
              <w:top w:val="nil"/>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4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本科</w:t>
            </w: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学士</w:t>
            </w:r>
          </w:p>
        </w:tc>
        <w:tc>
          <w:tcPr>
            <w:tcW w:w="3240" w:type="dxa"/>
            <w:tcBorders>
              <w:top w:val="nil"/>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不限</w:t>
            </w:r>
          </w:p>
        </w:tc>
        <w:tc>
          <w:tcPr>
            <w:tcW w:w="3060" w:type="dxa"/>
            <w:tcBorders>
              <w:top w:val="nil"/>
              <w:left w:val="nil"/>
              <w:bottom w:val="single" w:color="auto" w:sz="4" w:space="0"/>
              <w:right w:val="single" w:color="auto" w:sz="4" w:space="0"/>
            </w:tcBorders>
            <w:noWrap w:val="0"/>
            <w:vAlign w:val="center"/>
          </w:tcPr>
          <w:p>
            <w:pPr>
              <w:snapToGrid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年及以上股权投资、金融业务或行业研究经验（行业研究方向半导体、计算机、电子、新材料等），或参与过2个及以上投资成功并退出的项目案例；参与过2个及以上投资成功并退出的项目案例或有基金从业资格者年龄可放宽至40周岁。（须提供个人社会保险参保证明、相关资格证书和成功案例相关证明材料）</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工作在嘉兴智慧产业创新园投资建设有限公司</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5715A"/>
    <w:rsid w:val="381571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2019-02-15T05:55:00Z</dcterms:created>
  <dc:creator>天空</dc:creator>
  <cp:lastModifiedBy>天空</cp:lastModifiedBy>
  <dcterms:modified xsi:type="dcterms:W3CDTF">2019-02-15T05:56:51Z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